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B2BF7" w14:textId="22FA04E2" w:rsidR="00E301E5" w:rsidRPr="00C24E34" w:rsidRDefault="00EE74EA" w:rsidP="00EE74EA">
      <w:pPr>
        <w:spacing w:after="0" w:line="240" w:lineRule="auto"/>
        <w:textAlignment w:val="baseline"/>
        <w:rPr>
          <w:rFonts w:ascii="Segoe UI" w:eastAsia="Times New Roman" w:hAnsi="Segoe UI" w:cs="Segoe UI"/>
          <w:b/>
          <w:bCs/>
          <w:sz w:val="20"/>
          <w:szCs w:val="20"/>
          <w:lang w:eastAsia="en-GB"/>
        </w:rPr>
      </w:pPr>
      <w:r w:rsidRPr="00C24E34">
        <w:rPr>
          <w:rFonts w:ascii="Arial" w:eastAsia="Times New Roman" w:hAnsi="Arial" w:cs="Arial"/>
          <w:b/>
          <w:bCs/>
          <w:sz w:val="24"/>
          <w:szCs w:val="24"/>
          <w:lang w:val="en-AU" w:eastAsia="en-GB"/>
        </w:rPr>
        <w:t xml:space="preserve">ATTACHMENT </w:t>
      </w:r>
      <w:r w:rsidRPr="00C24E34">
        <w:rPr>
          <w:rFonts w:ascii="Arial" w:eastAsia="Times New Roman" w:hAnsi="Arial" w:cs="Arial"/>
          <w:b/>
          <w:bCs/>
          <w:sz w:val="24"/>
          <w:szCs w:val="24"/>
          <w:lang w:val="en-AU" w:eastAsia="en-GB"/>
        </w:rPr>
        <w:t>2</w:t>
      </w:r>
      <w:r w:rsidRPr="00244AAE">
        <w:rPr>
          <w:rFonts w:ascii="Arial" w:eastAsia="Times New Roman" w:hAnsi="Arial" w:cs="Arial"/>
          <w:b/>
          <w:bCs/>
          <w:sz w:val="24"/>
          <w:szCs w:val="24"/>
          <w:lang w:val="en-AU" w:eastAsia="en-GB"/>
        </w:rPr>
        <w:t xml:space="preserve"> – </w:t>
      </w:r>
      <w:r w:rsidR="005D075F" w:rsidRPr="00C24E34">
        <w:rPr>
          <w:rFonts w:ascii="Arial" w:eastAsia="Times New Roman" w:hAnsi="Arial" w:cs="Arial"/>
          <w:b/>
          <w:bCs/>
          <w:sz w:val="24"/>
          <w:szCs w:val="24"/>
          <w:lang w:val="en-AU" w:eastAsia="en-GB"/>
        </w:rPr>
        <w:t>TERMS OF REFERENCE LOT2</w:t>
      </w:r>
    </w:p>
    <w:p w14:paraId="643A9A62" w14:textId="62E6AE89" w:rsidR="00E301E5" w:rsidRDefault="0084354C" w:rsidP="00AF6C87">
      <w:pPr>
        <w:pStyle w:val="Title"/>
        <w:rPr>
          <w:rFonts w:ascii="Arial" w:hAnsi="Arial" w:cs="Arial"/>
          <w:color w:val="0070C0"/>
        </w:rPr>
      </w:pPr>
      <w:r w:rsidRPr="00E301E5">
        <w:rPr>
          <w:rFonts w:ascii="Arial Narrow" w:eastAsia="Times New Roman" w:hAnsi="Arial Narrow" w:cs="Arial"/>
          <w:noProof/>
          <w:spacing w:val="0"/>
          <w:kern w:val="0"/>
          <w:sz w:val="24"/>
          <w:szCs w:val="24"/>
          <w:lang w:eastAsia="en-GB"/>
        </w:rPr>
        <w:drawing>
          <wp:anchor distT="0" distB="0" distL="114300" distR="114300" simplePos="0" relativeHeight="251658240" behindDoc="1" locked="0" layoutInCell="1" allowOverlap="1" wp14:anchorId="3DF1A717" wp14:editId="4A4750E7">
            <wp:simplePos x="0" y="0"/>
            <wp:positionH relativeFrom="column">
              <wp:posOffset>10160</wp:posOffset>
            </wp:positionH>
            <wp:positionV relativeFrom="paragraph">
              <wp:posOffset>250190</wp:posOffset>
            </wp:positionV>
            <wp:extent cx="900430" cy="776605"/>
            <wp:effectExtent l="0" t="0" r="0" b="4445"/>
            <wp:wrapNone/>
            <wp:docPr id="27" name="Picture 27" descr="IUCN_COAT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UCN_COATED_cmyk"/>
                    <pic:cNvPicPr>
                      <a:picLocks noChangeAspect="1" noChangeArrowheads="1"/>
                    </pic:cNvPicPr>
                  </pic:nvPicPr>
                  <pic:blipFill>
                    <a:blip r:embed="rId11" cstate="print"/>
                    <a:srcRect l="9277" t="14545" r="11423" b="15009"/>
                    <a:stretch>
                      <a:fillRect/>
                    </a:stretch>
                  </pic:blipFill>
                  <pic:spPr bwMode="auto">
                    <a:xfrm>
                      <a:off x="0" y="0"/>
                      <a:ext cx="900430" cy="776605"/>
                    </a:xfrm>
                    <a:prstGeom prst="rect">
                      <a:avLst/>
                    </a:prstGeom>
                    <a:noFill/>
                  </pic:spPr>
                </pic:pic>
              </a:graphicData>
            </a:graphic>
            <wp14:sizeRelH relativeFrom="margin">
              <wp14:pctWidth>0</wp14:pctWidth>
            </wp14:sizeRelH>
          </wp:anchor>
        </w:drawing>
      </w:r>
      <w:r>
        <w:rPr>
          <w:noProof/>
        </w:rPr>
        <w:drawing>
          <wp:anchor distT="0" distB="0" distL="114300" distR="114300" simplePos="0" relativeHeight="251658241" behindDoc="1" locked="0" layoutInCell="1" allowOverlap="1" wp14:anchorId="6E2B1E6A" wp14:editId="1F884838">
            <wp:simplePos x="0" y="0"/>
            <wp:positionH relativeFrom="margin">
              <wp:posOffset>1103630</wp:posOffset>
            </wp:positionH>
            <wp:positionV relativeFrom="paragraph">
              <wp:posOffset>253838</wp:posOffset>
            </wp:positionV>
            <wp:extent cx="1532890" cy="711835"/>
            <wp:effectExtent l="0" t="0" r="0" b="0"/>
            <wp:wrapNone/>
            <wp:docPr id="287939534" name="Picture 2" descr="A logo with green circl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39534" name="Picture 2" descr="A logo with green circles and white text&#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299" t="26164" r="8706" b="17953"/>
                    <a:stretch/>
                  </pic:blipFill>
                  <pic:spPr bwMode="auto">
                    <a:xfrm>
                      <a:off x="0" y="0"/>
                      <a:ext cx="1532890" cy="711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C6AF0F" w14:textId="0971145E" w:rsidR="00E301E5" w:rsidRPr="0002722D" w:rsidRDefault="00E301E5" w:rsidP="00AF6C87">
      <w:pPr>
        <w:pStyle w:val="Title"/>
        <w:rPr>
          <w:rFonts w:ascii="Arial" w:hAnsi="Arial" w:cs="Arial"/>
          <w:color w:val="0070C0"/>
          <w:sz w:val="52"/>
          <w:szCs w:val="52"/>
        </w:rPr>
      </w:pPr>
    </w:p>
    <w:p w14:paraId="22D5E602" w14:textId="77777777" w:rsidR="0084354C" w:rsidRDefault="0084354C" w:rsidP="00033D20">
      <w:pPr>
        <w:pStyle w:val="Title"/>
        <w:rPr>
          <w:rFonts w:ascii="Arial" w:hAnsi="Arial" w:cs="Arial"/>
          <w:color w:val="0070C0"/>
          <w:sz w:val="52"/>
          <w:szCs w:val="52"/>
        </w:rPr>
      </w:pPr>
    </w:p>
    <w:p w14:paraId="2801B494" w14:textId="45F9FFC4" w:rsidR="00033D20" w:rsidRPr="0002722D" w:rsidRDefault="00033D20" w:rsidP="00033D20">
      <w:pPr>
        <w:pStyle w:val="Title"/>
        <w:rPr>
          <w:rFonts w:ascii="Arial" w:hAnsi="Arial" w:cs="Arial"/>
          <w:color w:val="0070C0"/>
          <w:sz w:val="52"/>
          <w:szCs w:val="52"/>
        </w:rPr>
      </w:pPr>
      <w:r w:rsidRPr="0002722D">
        <w:rPr>
          <w:rFonts w:ascii="Arial" w:hAnsi="Arial" w:cs="Arial"/>
          <w:color w:val="0070C0"/>
          <w:sz w:val="52"/>
          <w:szCs w:val="52"/>
        </w:rPr>
        <w:t xml:space="preserve">Terms of Reference for IUCN Green List Reviewer for </w:t>
      </w:r>
      <w:r w:rsidR="00766D7B">
        <w:rPr>
          <w:rFonts w:ascii="Arial" w:hAnsi="Arial" w:cs="Arial"/>
          <w:color w:val="0070C0"/>
          <w:sz w:val="52"/>
          <w:szCs w:val="52"/>
        </w:rPr>
        <w:t>IUCN Med</w:t>
      </w:r>
      <w:r w:rsidRPr="0002722D">
        <w:rPr>
          <w:rFonts w:ascii="Arial" w:hAnsi="Arial" w:cs="Arial"/>
          <w:color w:val="0070C0"/>
          <w:sz w:val="52"/>
          <w:szCs w:val="52"/>
        </w:rPr>
        <w:t xml:space="preserve"> </w:t>
      </w:r>
    </w:p>
    <w:p w14:paraId="6B48AB83" w14:textId="57915FFF" w:rsidR="0014476E" w:rsidRDefault="0014476E" w:rsidP="0014476E">
      <w:pPr>
        <w:rPr>
          <w:rFonts w:ascii="Arial" w:hAnsi="Arial" w:cs="Arial"/>
        </w:rPr>
      </w:pPr>
    </w:p>
    <w:p w14:paraId="6A1F0572" w14:textId="3FF0A67B" w:rsidR="00C54A5E" w:rsidRPr="0002722D" w:rsidRDefault="001A4B13" w:rsidP="497BFA86">
      <w:pPr>
        <w:spacing w:line="240" w:lineRule="auto"/>
        <w:rPr>
          <w:rFonts w:ascii="Arial" w:hAnsi="Arial" w:cs="Arial"/>
          <w:b/>
          <w:bCs/>
          <w:sz w:val="28"/>
          <w:szCs w:val="28"/>
          <w:u w:val="single"/>
        </w:rPr>
      </w:pPr>
      <w:r w:rsidRPr="0002722D">
        <w:rPr>
          <w:rFonts w:ascii="Arial" w:hAnsi="Arial" w:cs="Arial"/>
          <w:b/>
          <w:bCs/>
          <w:sz w:val="28"/>
          <w:szCs w:val="28"/>
          <w:u w:val="single"/>
        </w:rPr>
        <w:t>LOT 2</w:t>
      </w:r>
      <w:r w:rsidR="00AF6C87" w:rsidRPr="0002722D">
        <w:rPr>
          <w:rFonts w:ascii="Arial" w:hAnsi="Arial" w:cs="Arial"/>
          <w:b/>
          <w:bCs/>
          <w:sz w:val="28"/>
          <w:szCs w:val="28"/>
          <w:u w:val="single"/>
        </w:rPr>
        <w:t xml:space="preserve">: </w:t>
      </w:r>
    </w:p>
    <w:p w14:paraId="45ABF852" w14:textId="0AF0514D" w:rsidR="00025462" w:rsidRPr="00AF6C87" w:rsidRDefault="000F693A" w:rsidP="497BFA86">
      <w:pPr>
        <w:spacing w:line="240" w:lineRule="auto"/>
        <w:rPr>
          <w:rFonts w:ascii="Arial" w:hAnsi="Arial" w:cs="Arial"/>
          <w:b/>
          <w:bCs/>
          <w:sz w:val="28"/>
          <w:szCs w:val="28"/>
        </w:rPr>
      </w:pPr>
      <w:r w:rsidRPr="71E15AB4">
        <w:rPr>
          <w:rFonts w:ascii="Arial" w:hAnsi="Arial" w:cs="Arial"/>
          <w:b/>
          <w:bCs/>
          <w:sz w:val="28"/>
          <w:szCs w:val="28"/>
        </w:rPr>
        <w:t>IUCN Green List of Protected and Conserved Areas Reviewer for</w:t>
      </w:r>
      <w:r w:rsidR="00CD14F0">
        <w:rPr>
          <w:rFonts w:ascii="Arial" w:hAnsi="Arial" w:cs="Arial"/>
          <w:b/>
          <w:bCs/>
          <w:sz w:val="28"/>
          <w:szCs w:val="28"/>
        </w:rPr>
        <w:t xml:space="preserve"> the</w:t>
      </w:r>
      <w:r w:rsidRPr="71E15AB4">
        <w:rPr>
          <w:rFonts w:ascii="Arial" w:hAnsi="Arial" w:cs="Arial"/>
          <w:b/>
          <w:bCs/>
          <w:sz w:val="28"/>
          <w:szCs w:val="28"/>
        </w:rPr>
        <w:t xml:space="preserve"> </w:t>
      </w:r>
      <w:r w:rsidR="1F223E37" w:rsidRPr="71E15AB4">
        <w:rPr>
          <w:rFonts w:ascii="Arial" w:hAnsi="Arial" w:cs="Arial"/>
          <w:b/>
          <w:bCs/>
          <w:sz w:val="28"/>
          <w:szCs w:val="28"/>
        </w:rPr>
        <w:t>Southern</w:t>
      </w:r>
      <w:r w:rsidR="47CBDB66" w:rsidRPr="71E15AB4">
        <w:rPr>
          <w:rFonts w:ascii="Arial" w:hAnsi="Arial" w:cs="Arial"/>
          <w:b/>
          <w:bCs/>
          <w:sz w:val="28"/>
          <w:szCs w:val="28"/>
        </w:rPr>
        <w:t xml:space="preserve"> </w:t>
      </w:r>
      <w:r w:rsidR="005D6D98" w:rsidRPr="71E15AB4">
        <w:rPr>
          <w:rFonts w:ascii="Arial" w:hAnsi="Arial" w:cs="Arial"/>
          <w:b/>
          <w:bCs/>
          <w:sz w:val="28"/>
          <w:szCs w:val="28"/>
        </w:rPr>
        <w:t>Europe</w:t>
      </w:r>
      <w:r w:rsidR="00755845">
        <w:rPr>
          <w:rFonts w:ascii="Arial" w:hAnsi="Arial" w:cs="Arial"/>
          <w:b/>
          <w:bCs/>
          <w:sz w:val="28"/>
          <w:szCs w:val="28"/>
        </w:rPr>
        <w:t>an</w:t>
      </w:r>
      <w:r w:rsidR="005B5DFD" w:rsidRPr="71E15AB4">
        <w:rPr>
          <w:rFonts w:ascii="Arial" w:hAnsi="Arial" w:cs="Arial"/>
          <w:b/>
          <w:bCs/>
          <w:sz w:val="28"/>
          <w:szCs w:val="28"/>
        </w:rPr>
        <w:t xml:space="preserve"> </w:t>
      </w:r>
      <w:r w:rsidR="007A336A" w:rsidRPr="71E15AB4">
        <w:rPr>
          <w:rFonts w:ascii="Arial" w:hAnsi="Arial" w:cs="Arial"/>
          <w:b/>
          <w:bCs/>
          <w:sz w:val="28"/>
          <w:szCs w:val="28"/>
        </w:rPr>
        <w:t>Region</w:t>
      </w:r>
      <w:r w:rsidR="7ABAB8E2" w:rsidRPr="1B73AC65">
        <w:rPr>
          <w:rFonts w:ascii="Arial" w:hAnsi="Arial" w:cs="Arial"/>
          <w:b/>
          <w:bCs/>
          <w:sz w:val="28"/>
          <w:szCs w:val="28"/>
        </w:rPr>
        <w:t xml:space="preserve"> </w:t>
      </w:r>
      <w:r w:rsidR="001C508C">
        <w:rPr>
          <w:rFonts w:ascii="Arial" w:hAnsi="Arial" w:cs="Arial"/>
          <w:b/>
          <w:bCs/>
          <w:sz w:val="28"/>
          <w:szCs w:val="28"/>
        </w:rPr>
        <w:t xml:space="preserve">for the </w:t>
      </w:r>
      <w:r w:rsidR="001C508C" w:rsidRPr="001C508C">
        <w:rPr>
          <w:rFonts w:ascii="Arial" w:hAnsi="Arial" w:cs="Arial"/>
          <w:b/>
          <w:bCs/>
          <w:sz w:val="28"/>
          <w:szCs w:val="28"/>
        </w:rPr>
        <w:t>GBMF-IUCN Partnership for the Green List</w:t>
      </w:r>
      <w:r w:rsidR="001C508C" w:rsidRPr="001C508C" w:rsidDel="001C508C">
        <w:rPr>
          <w:rFonts w:ascii="Arial" w:hAnsi="Arial" w:cs="Arial"/>
          <w:b/>
          <w:bCs/>
          <w:sz w:val="28"/>
          <w:szCs w:val="28"/>
        </w:rPr>
        <w:t xml:space="preserve"> </w:t>
      </w:r>
    </w:p>
    <w:p w14:paraId="716236C1" w14:textId="751CF2D4" w:rsidR="009C0859" w:rsidRPr="001032CA" w:rsidRDefault="009C0859" w:rsidP="00F9508B">
      <w:pPr>
        <w:spacing w:line="240" w:lineRule="auto"/>
        <w:rPr>
          <w:rFonts w:ascii="Arial" w:hAnsi="Arial" w:cs="Arial"/>
          <w:b/>
        </w:rPr>
      </w:pPr>
      <w:r w:rsidRPr="001032CA">
        <w:rPr>
          <w:rFonts w:ascii="Arial" w:hAnsi="Arial" w:cs="Arial"/>
          <w:b/>
        </w:rPr>
        <w:t>Objective</w:t>
      </w:r>
      <w:r w:rsidR="00E301E5">
        <w:rPr>
          <w:rFonts w:ascii="Arial" w:hAnsi="Arial" w:cs="Arial"/>
          <w:b/>
        </w:rPr>
        <w:t xml:space="preserve"> of the Consultancy</w:t>
      </w:r>
    </w:p>
    <w:p w14:paraId="5FDB8991" w14:textId="337EDC27" w:rsidR="009C0859" w:rsidRDefault="009C0859" w:rsidP="009C0859">
      <w:pPr>
        <w:spacing w:line="240" w:lineRule="auto"/>
        <w:ind w:firstLine="720"/>
        <w:rPr>
          <w:rFonts w:ascii="Arial" w:hAnsi="Arial" w:cs="Arial"/>
        </w:rPr>
      </w:pPr>
      <w:r>
        <w:rPr>
          <w:rFonts w:ascii="Arial" w:hAnsi="Arial" w:cs="Arial"/>
        </w:rPr>
        <w:t xml:space="preserve">This consultancy has the following </w:t>
      </w:r>
      <w:r w:rsidR="00E301E5">
        <w:rPr>
          <w:rFonts w:ascii="Arial" w:hAnsi="Arial" w:cs="Arial"/>
        </w:rPr>
        <w:t>objective(s)</w:t>
      </w:r>
      <w:r w:rsidR="00AF6C87">
        <w:rPr>
          <w:rFonts w:ascii="Arial" w:hAnsi="Arial" w:cs="Arial"/>
        </w:rPr>
        <w:t>:</w:t>
      </w:r>
    </w:p>
    <w:p w14:paraId="7051AA94" w14:textId="356C35DD" w:rsidR="00303DED" w:rsidRPr="00717075" w:rsidRDefault="00562FC5" w:rsidP="006A2A0E">
      <w:pPr>
        <w:pStyle w:val="ListParagraph"/>
        <w:numPr>
          <w:ilvl w:val="0"/>
          <w:numId w:val="2"/>
        </w:numPr>
        <w:spacing w:line="240" w:lineRule="auto"/>
        <w:rPr>
          <w:rFonts w:ascii="Arial" w:hAnsi="Arial" w:cs="Arial"/>
        </w:rPr>
      </w:pPr>
      <w:r w:rsidRPr="71E15AB4">
        <w:rPr>
          <w:rFonts w:ascii="Arial" w:hAnsi="Arial" w:cs="Arial"/>
        </w:rPr>
        <w:t xml:space="preserve">To fulfil the role of Reviewer within the IUCN Green List Process in the </w:t>
      </w:r>
      <w:r w:rsidR="54632614" w:rsidRPr="00F27F46">
        <w:rPr>
          <w:rFonts w:ascii="Arial" w:hAnsi="Arial" w:cs="Arial"/>
        </w:rPr>
        <w:t>Southern</w:t>
      </w:r>
      <w:r w:rsidR="00303DED" w:rsidRPr="00F27F46">
        <w:rPr>
          <w:rFonts w:ascii="Arial" w:hAnsi="Arial" w:cs="Arial"/>
        </w:rPr>
        <w:t xml:space="preserve"> </w:t>
      </w:r>
      <w:r w:rsidR="75671AA5" w:rsidRPr="00F27F46">
        <w:rPr>
          <w:rFonts w:ascii="Arial" w:hAnsi="Arial" w:cs="Arial"/>
        </w:rPr>
        <w:t xml:space="preserve">Europe </w:t>
      </w:r>
      <w:r w:rsidR="00303DED" w:rsidRPr="00F27F46">
        <w:rPr>
          <w:rFonts w:ascii="Arial" w:hAnsi="Arial" w:cs="Arial"/>
        </w:rPr>
        <w:t>region</w:t>
      </w:r>
      <w:r w:rsidR="00303DED" w:rsidRPr="00717075">
        <w:rPr>
          <w:rFonts w:ascii="Arial" w:hAnsi="Arial" w:cs="Arial"/>
        </w:rPr>
        <w:t xml:space="preserve"> </w:t>
      </w:r>
    </w:p>
    <w:p w14:paraId="2BEEBDAD" w14:textId="3EDC5B66" w:rsidR="00114E6D" w:rsidRPr="00303DED" w:rsidRDefault="004F14CB" w:rsidP="006A2A0E">
      <w:pPr>
        <w:pStyle w:val="ListParagraph"/>
        <w:numPr>
          <w:ilvl w:val="0"/>
          <w:numId w:val="2"/>
        </w:numPr>
        <w:spacing w:line="240" w:lineRule="auto"/>
        <w:rPr>
          <w:rFonts w:ascii="Arial" w:hAnsi="Arial" w:cs="Arial"/>
        </w:rPr>
      </w:pPr>
      <w:r w:rsidRPr="71E15AB4">
        <w:rPr>
          <w:rFonts w:ascii="Arial" w:hAnsi="Arial" w:cs="Arial"/>
        </w:rPr>
        <w:t xml:space="preserve">To provide ongoing support </w:t>
      </w:r>
      <w:r w:rsidR="00114E6D" w:rsidRPr="71E15AB4">
        <w:rPr>
          <w:rFonts w:ascii="Arial" w:hAnsi="Arial" w:cs="Arial"/>
        </w:rPr>
        <w:t>and supervision to the Italian and Spanish EAGLs</w:t>
      </w:r>
      <w:r w:rsidR="006322E6" w:rsidRPr="71E15AB4">
        <w:rPr>
          <w:rFonts w:ascii="Arial" w:hAnsi="Arial" w:cs="Arial"/>
        </w:rPr>
        <w:t>, and to support the formation of new EAGLs in the</w:t>
      </w:r>
      <w:r w:rsidR="617B0CA7" w:rsidRPr="71E15AB4">
        <w:rPr>
          <w:rFonts w:ascii="Arial" w:hAnsi="Arial" w:cs="Arial"/>
        </w:rPr>
        <w:t xml:space="preserve"> Southern </w:t>
      </w:r>
      <w:r w:rsidR="617B0CA7" w:rsidRPr="00F27F46">
        <w:rPr>
          <w:rFonts w:ascii="Arial" w:hAnsi="Arial" w:cs="Arial"/>
        </w:rPr>
        <w:t>Europe</w:t>
      </w:r>
      <w:r w:rsidR="00755845">
        <w:rPr>
          <w:rFonts w:ascii="Arial" w:hAnsi="Arial" w:cs="Arial"/>
        </w:rPr>
        <w:t>an</w:t>
      </w:r>
      <w:r w:rsidR="00303DED" w:rsidRPr="00F27F46">
        <w:rPr>
          <w:rFonts w:ascii="Arial" w:hAnsi="Arial" w:cs="Arial"/>
        </w:rPr>
        <w:t xml:space="preserve"> region</w:t>
      </w:r>
      <w:r w:rsidR="006322E6" w:rsidRPr="71E15AB4">
        <w:rPr>
          <w:rFonts w:ascii="Arial" w:hAnsi="Arial" w:cs="Arial"/>
        </w:rPr>
        <w:t xml:space="preserve"> as needed</w:t>
      </w:r>
    </w:p>
    <w:p w14:paraId="53947F0B" w14:textId="77777777" w:rsidR="009C0859" w:rsidRDefault="009C0859" w:rsidP="009C0859">
      <w:pPr>
        <w:spacing w:line="240" w:lineRule="auto"/>
        <w:rPr>
          <w:rFonts w:ascii="Arial" w:hAnsi="Arial" w:cs="Arial"/>
          <w:b/>
        </w:rPr>
      </w:pPr>
      <w:r w:rsidRPr="001032CA">
        <w:rPr>
          <w:rFonts w:ascii="Arial" w:hAnsi="Arial" w:cs="Arial"/>
          <w:b/>
        </w:rPr>
        <w:t>Background</w:t>
      </w:r>
    </w:p>
    <w:p w14:paraId="29EAAD5D" w14:textId="12564B2D" w:rsidR="000841E8" w:rsidRDefault="00AF6C87" w:rsidP="000841E8">
      <w:pPr>
        <w:spacing w:line="240" w:lineRule="auto"/>
        <w:rPr>
          <w:rFonts w:ascii="Arial" w:hAnsi="Arial" w:cs="Arial"/>
        </w:rPr>
      </w:pPr>
      <w:r>
        <w:rPr>
          <w:rFonts w:ascii="Arial" w:hAnsi="Arial" w:cs="Arial"/>
        </w:rPr>
        <w:tab/>
        <w:t>Project Reference</w:t>
      </w:r>
      <w:r w:rsidR="002B2E7B">
        <w:rPr>
          <w:rFonts w:ascii="Arial" w:hAnsi="Arial" w:cs="Arial"/>
        </w:rPr>
        <w:t>:</w:t>
      </w:r>
      <w:r>
        <w:rPr>
          <w:rFonts w:ascii="Arial" w:hAnsi="Arial" w:cs="Arial"/>
        </w:rPr>
        <w:t xml:space="preserve"> </w:t>
      </w:r>
      <w:r w:rsidR="000240D3">
        <w:rPr>
          <w:rFonts w:ascii="Arial" w:hAnsi="Arial" w:cs="Arial"/>
        </w:rPr>
        <w:t>P0440</w:t>
      </w:r>
      <w:r w:rsidR="6F5FAB8D">
        <w:rPr>
          <w:rFonts w:ascii="Arial" w:hAnsi="Arial" w:cs="Arial"/>
        </w:rPr>
        <w:t>4</w:t>
      </w:r>
    </w:p>
    <w:p w14:paraId="16109CAD" w14:textId="396134F3" w:rsidR="00990819" w:rsidRPr="00990819" w:rsidRDefault="00990819" w:rsidP="003359C7">
      <w:pPr>
        <w:spacing w:line="240" w:lineRule="auto"/>
        <w:ind w:left="720"/>
        <w:rPr>
          <w:rFonts w:ascii="Arial" w:hAnsi="Arial" w:cs="Arial"/>
          <w:b/>
        </w:rPr>
      </w:pPr>
      <w:r w:rsidRPr="00990819">
        <w:rPr>
          <w:rFonts w:ascii="Arial" w:hAnsi="Arial" w:cs="Arial"/>
          <w:b/>
        </w:rPr>
        <w:t>About IUCN</w:t>
      </w:r>
    </w:p>
    <w:p w14:paraId="6D31329B" w14:textId="77777777" w:rsidR="00857665" w:rsidRDefault="00857665" w:rsidP="00857665">
      <w:pPr>
        <w:spacing w:after="0" w:line="240" w:lineRule="auto"/>
        <w:ind w:right="113"/>
        <w:rPr>
          <w:rFonts w:ascii="Arial" w:hAnsi="Arial" w:cs="Arial"/>
          <w:b/>
          <w:sz w:val="20"/>
          <w:szCs w:val="20"/>
        </w:rPr>
      </w:pPr>
    </w:p>
    <w:p w14:paraId="136F6557" w14:textId="77777777" w:rsidR="00857665" w:rsidRPr="00857665" w:rsidRDefault="00857665" w:rsidP="00857665">
      <w:pPr>
        <w:spacing w:after="0" w:line="240" w:lineRule="auto"/>
        <w:ind w:left="720" w:right="113"/>
        <w:jc w:val="both"/>
        <w:rPr>
          <w:rFonts w:ascii="Arial" w:hAnsi="Arial" w:cs="Arial"/>
        </w:rPr>
      </w:pPr>
      <w:r w:rsidRPr="00857665">
        <w:rPr>
          <w:rFonts w:ascii="Arial" w:hAnsi="Arial" w:cs="Arial"/>
        </w:rPr>
        <w:t>IUCN is a membership Union uniquely composed of both government and civil society organisations. It provides public, private and non-governmental organisations with the knowledge and tools that enable human progress, economic development and nature conservation to take place together.</w:t>
      </w:r>
    </w:p>
    <w:p w14:paraId="338F65FD" w14:textId="77777777" w:rsidR="00857665" w:rsidRPr="00857665" w:rsidRDefault="00857665" w:rsidP="00857665">
      <w:pPr>
        <w:spacing w:after="0" w:line="240" w:lineRule="auto"/>
        <w:ind w:left="720" w:right="113"/>
        <w:jc w:val="both"/>
        <w:rPr>
          <w:rFonts w:ascii="Arial" w:hAnsi="Arial" w:cs="Arial"/>
          <w:b/>
        </w:rPr>
      </w:pPr>
    </w:p>
    <w:p w14:paraId="1F487B45" w14:textId="77777777" w:rsidR="00857665" w:rsidRPr="00857665" w:rsidRDefault="00857665" w:rsidP="00857665">
      <w:pPr>
        <w:spacing w:after="0" w:line="240" w:lineRule="auto"/>
        <w:ind w:left="720" w:right="113"/>
        <w:jc w:val="both"/>
        <w:rPr>
          <w:rFonts w:ascii="Arial" w:hAnsi="Arial" w:cs="Arial"/>
        </w:rPr>
      </w:pPr>
      <w:r w:rsidRPr="00857665">
        <w:rPr>
          <w:rFonts w:ascii="Arial" w:hAnsi="Arial" w:cs="Arial"/>
        </w:rPr>
        <w:t>Created in 1948, IUCN is now the world’s largest and most diverse environmental network, harnessing the knowledge, resources and reach of more than 1,400 Member organisations and around 15,000 experts. It is a leading provider of conservation data, assessments and analysis. Its broad membership enables IUCN to fill the role of incubator and trusted repository of best practices, tools and international standards.</w:t>
      </w:r>
    </w:p>
    <w:p w14:paraId="3AADD02C" w14:textId="77777777" w:rsidR="00857665" w:rsidRPr="00857665" w:rsidRDefault="00857665" w:rsidP="00857665">
      <w:pPr>
        <w:spacing w:after="0" w:line="240" w:lineRule="auto"/>
        <w:ind w:left="720" w:right="113"/>
        <w:jc w:val="both"/>
        <w:rPr>
          <w:rFonts w:ascii="Arial" w:hAnsi="Arial" w:cs="Arial"/>
        </w:rPr>
      </w:pPr>
    </w:p>
    <w:p w14:paraId="3917F41D" w14:textId="77777777" w:rsidR="00857665" w:rsidRPr="00857665" w:rsidRDefault="00857665" w:rsidP="00857665">
      <w:pPr>
        <w:spacing w:after="0" w:line="240" w:lineRule="auto"/>
        <w:ind w:left="720" w:right="113"/>
        <w:jc w:val="both"/>
        <w:rPr>
          <w:rFonts w:ascii="Arial" w:eastAsia="Times New Roman" w:hAnsi="Arial" w:cs="Arial"/>
          <w:lang w:eastAsia="en-GB"/>
        </w:rPr>
      </w:pPr>
      <w:r w:rsidRPr="00857665">
        <w:rPr>
          <w:rFonts w:ascii="Arial" w:hAnsi="Arial" w:cs="Arial"/>
        </w:rPr>
        <w:t xml:space="preserve">IUCN provides a neutral space in which diverse stakeholders including </w:t>
      </w:r>
      <w:r w:rsidRPr="00857665">
        <w:rPr>
          <w:rFonts w:ascii="Arial" w:eastAsia="Times New Roman" w:hAnsi="Arial" w:cs="Arial"/>
          <w:lang w:eastAsia="en-GB"/>
        </w:rPr>
        <w:t xml:space="preserve">governments, NGOs, scientists, businesses, local communities, indigenous </w:t>
      </w:r>
      <w:proofErr w:type="gramStart"/>
      <w:r w:rsidRPr="00857665">
        <w:rPr>
          <w:rFonts w:ascii="Arial" w:eastAsia="Times New Roman" w:hAnsi="Arial" w:cs="Arial"/>
          <w:lang w:eastAsia="en-GB"/>
        </w:rPr>
        <w:t>peoples</w:t>
      </w:r>
      <w:proofErr w:type="gramEnd"/>
      <w:r w:rsidRPr="00857665">
        <w:rPr>
          <w:rFonts w:ascii="Arial" w:eastAsia="Times New Roman" w:hAnsi="Arial" w:cs="Arial"/>
          <w:lang w:eastAsia="en-GB"/>
        </w:rPr>
        <w:t xml:space="preserve"> organisations and others can work together to forge and implement solutions to environmental challenges and achieve sustainable development.</w:t>
      </w:r>
    </w:p>
    <w:p w14:paraId="66FCC4FD" w14:textId="77777777" w:rsidR="00857665" w:rsidRPr="00857665" w:rsidRDefault="00857665" w:rsidP="00857665">
      <w:pPr>
        <w:spacing w:after="0" w:line="240" w:lineRule="auto"/>
        <w:ind w:left="720" w:right="113"/>
        <w:jc w:val="both"/>
        <w:rPr>
          <w:rFonts w:ascii="Arial" w:hAnsi="Arial" w:cs="Arial"/>
        </w:rPr>
      </w:pPr>
    </w:p>
    <w:p w14:paraId="0A1E108E" w14:textId="77777777" w:rsidR="00857665" w:rsidRPr="00857665" w:rsidRDefault="00857665" w:rsidP="00857665">
      <w:pPr>
        <w:spacing w:after="0" w:line="240" w:lineRule="auto"/>
        <w:ind w:left="720" w:right="113"/>
        <w:jc w:val="both"/>
        <w:rPr>
          <w:rFonts w:ascii="Arial" w:hAnsi="Arial" w:cs="Arial"/>
        </w:rPr>
      </w:pPr>
      <w:r w:rsidRPr="00857665">
        <w:rPr>
          <w:rFonts w:ascii="Arial" w:hAnsi="Arial" w:cs="Arial"/>
        </w:rPr>
        <w:t xml:space="preserve">Working with many partners and supporters, IUCN implements a large and diverse portfolio of conservation projects worldwide. Combining the latest science with the </w:t>
      </w:r>
      <w:r w:rsidRPr="00857665">
        <w:rPr>
          <w:rFonts w:ascii="Arial" w:hAnsi="Arial" w:cs="Arial"/>
        </w:rPr>
        <w:lastRenderedPageBreak/>
        <w:t>traditional knowledge of local communities, these projects work to reverse habitat loss, restore ecosystems and improve people’s well-being.</w:t>
      </w:r>
    </w:p>
    <w:p w14:paraId="3E6DC79E" w14:textId="77777777" w:rsidR="00857665" w:rsidRPr="00857665" w:rsidRDefault="00857665" w:rsidP="00857665">
      <w:pPr>
        <w:spacing w:after="0" w:line="240" w:lineRule="auto"/>
        <w:ind w:left="720" w:right="113"/>
        <w:jc w:val="both"/>
        <w:rPr>
          <w:rFonts w:ascii="Arial" w:hAnsi="Arial" w:cs="Arial"/>
        </w:rPr>
      </w:pPr>
    </w:p>
    <w:p w14:paraId="148FBC70" w14:textId="77777777" w:rsidR="00857665" w:rsidRPr="00857665" w:rsidRDefault="00857665" w:rsidP="00857665">
      <w:pPr>
        <w:spacing w:after="0" w:line="240" w:lineRule="auto"/>
        <w:ind w:left="720" w:right="113"/>
        <w:jc w:val="both"/>
        <w:rPr>
          <w:rFonts w:ascii="Arial" w:hAnsi="Arial" w:cs="Arial"/>
        </w:rPr>
      </w:pPr>
      <w:hyperlink r:id="rId13" w:history="1">
        <w:r w:rsidRPr="00857665">
          <w:rPr>
            <w:rStyle w:val="Hyperlink"/>
            <w:rFonts w:ascii="Arial" w:hAnsi="Arial" w:cs="Arial"/>
          </w:rPr>
          <w:t>www.iucn.org</w:t>
        </w:r>
      </w:hyperlink>
    </w:p>
    <w:p w14:paraId="693CC577" w14:textId="77777777" w:rsidR="00857665" w:rsidRPr="00857665" w:rsidRDefault="00857665" w:rsidP="00857665">
      <w:pPr>
        <w:spacing w:after="0" w:line="240" w:lineRule="auto"/>
        <w:ind w:left="720" w:right="113"/>
        <w:jc w:val="both"/>
        <w:rPr>
          <w:rFonts w:ascii="Arial" w:hAnsi="Arial" w:cs="Arial"/>
        </w:rPr>
      </w:pPr>
      <w:hyperlink r:id="rId14" w:history="1">
        <w:r w:rsidRPr="00857665">
          <w:rPr>
            <w:rStyle w:val="Hyperlink"/>
            <w:rFonts w:ascii="Arial" w:hAnsi="Arial" w:cs="Arial"/>
          </w:rPr>
          <w:t>https://twitter.com/IUCN/</w:t>
        </w:r>
      </w:hyperlink>
    </w:p>
    <w:p w14:paraId="487DC2A4" w14:textId="77777777" w:rsidR="006F48CC" w:rsidRDefault="006F48CC" w:rsidP="003359C7">
      <w:pPr>
        <w:spacing w:line="240" w:lineRule="auto"/>
        <w:ind w:left="720"/>
        <w:rPr>
          <w:rFonts w:ascii="Arial" w:hAnsi="Arial" w:cs="Arial"/>
          <w:b/>
        </w:rPr>
      </w:pPr>
    </w:p>
    <w:p w14:paraId="613912D6" w14:textId="7111873A" w:rsidR="00990819" w:rsidRPr="00857665" w:rsidRDefault="00857665" w:rsidP="003359C7">
      <w:pPr>
        <w:spacing w:line="240" w:lineRule="auto"/>
        <w:ind w:left="720"/>
        <w:rPr>
          <w:rFonts w:ascii="Arial" w:hAnsi="Arial" w:cs="Arial"/>
          <w:b/>
        </w:rPr>
      </w:pPr>
      <w:r w:rsidRPr="00857665">
        <w:rPr>
          <w:rFonts w:ascii="Arial" w:hAnsi="Arial" w:cs="Arial"/>
          <w:b/>
        </w:rPr>
        <w:t xml:space="preserve">About the </w:t>
      </w:r>
      <w:r w:rsidR="00C8108A">
        <w:rPr>
          <w:rFonts w:ascii="Arial" w:hAnsi="Arial" w:cs="Arial"/>
          <w:b/>
        </w:rPr>
        <w:t xml:space="preserve">IUCN Green List </w:t>
      </w:r>
    </w:p>
    <w:p w14:paraId="4D486AF5" w14:textId="77777777" w:rsidR="008A7B6E" w:rsidRDefault="008A7B6E" w:rsidP="008A7B6E">
      <w:pPr>
        <w:spacing w:line="240" w:lineRule="auto"/>
        <w:ind w:left="720"/>
        <w:jc w:val="both"/>
        <w:rPr>
          <w:rFonts w:ascii="Arial" w:hAnsi="Arial" w:cs="Arial"/>
        </w:rPr>
      </w:pPr>
      <w:r w:rsidRPr="00212C44">
        <w:rPr>
          <w:rFonts w:ascii="Arial" w:hAnsi="Arial" w:cs="Arial"/>
        </w:rPr>
        <w:t xml:space="preserve">The </w:t>
      </w:r>
      <w:r w:rsidRPr="00212C44">
        <w:rPr>
          <w:rFonts w:ascii="Arial" w:hAnsi="Arial" w:cs="Arial"/>
          <w:b/>
          <w:bCs/>
        </w:rPr>
        <w:t xml:space="preserve">IUCN Green List of Protected and Conserved Areas Programme (Green List) </w:t>
      </w:r>
      <w:r w:rsidRPr="00212C44">
        <w:rPr>
          <w:rFonts w:ascii="Arial" w:hAnsi="Arial" w:cs="Arial"/>
        </w:rPr>
        <w:t xml:space="preserve">was officially launched in 2014 at the World Parks Congress to recognise and promote successful protected and conserved areas (PCAs) around the world. The main objective of the Green List is to encourage PCAs to measure, improve and maintain their performance through globally consistent criteria on good governance, sound design and planning, effective management, and successful conservation outcomes. At the heart of the IUCN Green List Programme is the Green List Standard and a set of Generic Indicators, defining performance levels that protected and conserved areas must meet to achieve ‘Green List’ status. More details on the IUCN Green List programme can be found at </w:t>
      </w:r>
      <w:hyperlink r:id="rId15" w:tgtFrame="_blank" w:history="1">
        <w:r w:rsidRPr="00212C44">
          <w:rPr>
            <w:rStyle w:val="Hyperlink"/>
            <w:rFonts w:ascii="Arial" w:hAnsi="Arial" w:cs="Arial"/>
          </w:rPr>
          <w:t>https://iucngreenlist.org/.</w:t>
        </w:r>
      </w:hyperlink>
      <w:r w:rsidRPr="00212C44">
        <w:rPr>
          <w:rFonts w:ascii="Arial" w:hAnsi="Arial" w:cs="Arial"/>
        </w:rPr>
        <w:t>  </w:t>
      </w:r>
    </w:p>
    <w:p w14:paraId="6E3C1DB4" w14:textId="77777777" w:rsidR="008A7B6E" w:rsidRDefault="008A7B6E" w:rsidP="008A7B6E">
      <w:pPr>
        <w:spacing w:line="240" w:lineRule="auto"/>
        <w:ind w:left="720"/>
        <w:jc w:val="both"/>
        <w:rPr>
          <w:rFonts w:ascii="Arial" w:hAnsi="Arial" w:cs="Arial"/>
        </w:rPr>
      </w:pPr>
      <w:r w:rsidRPr="004667F7">
        <w:rPr>
          <w:rFonts w:ascii="Arial" w:hAnsi="Arial" w:cs="Arial"/>
        </w:rPr>
        <w:t xml:space="preserve">All participants in the Green List Programme shall operate according to the </w:t>
      </w:r>
      <w:hyperlink r:id="rId16" w:history="1">
        <w:r w:rsidRPr="003942E3">
          <w:rPr>
            <w:rStyle w:val="Hyperlink"/>
            <w:rFonts w:ascii="Arial" w:hAnsi="Arial" w:cs="Arial"/>
          </w:rPr>
          <w:t>Green List User Manual</w:t>
        </w:r>
      </w:hyperlink>
      <w:r>
        <w:rPr>
          <w:rFonts w:ascii="Arial" w:hAnsi="Arial" w:cs="Arial"/>
        </w:rPr>
        <w:t>´s</w:t>
      </w:r>
      <w:r w:rsidRPr="002D1E45">
        <w:rPr>
          <w:rFonts w:ascii="Arial" w:hAnsi="Arial" w:cs="Arial"/>
        </w:rPr>
        <w:t xml:space="preserve"> </w:t>
      </w:r>
      <w:r w:rsidRPr="004667F7">
        <w:rPr>
          <w:rFonts w:ascii="Arial" w:hAnsi="Arial" w:cs="Arial"/>
        </w:rPr>
        <w:t>rules and procedures</w:t>
      </w:r>
      <w:r>
        <w:rPr>
          <w:rFonts w:ascii="Arial" w:hAnsi="Arial" w:cs="Arial"/>
        </w:rPr>
        <w:t xml:space="preserve">. </w:t>
      </w:r>
      <w:r w:rsidRPr="002D1E45">
        <w:rPr>
          <w:rFonts w:ascii="Arial" w:hAnsi="Arial" w:cs="Arial"/>
          <w:b/>
          <w:bCs/>
        </w:rPr>
        <w:t>Green List Reviewers</w:t>
      </w:r>
      <w:r w:rsidRPr="002D1E45">
        <w:rPr>
          <w:rFonts w:ascii="Arial" w:hAnsi="Arial" w:cs="Arial"/>
        </w:rPr>
        <w:t xml:space="preserve"> are independent qualified auditors or individuals with relevant experience working in a specific jurisdiction or across various jurisdictions. Their primary role is to ensure that the rules and procedures of </w:t>
      </w:r>
      <w:r>
        <w:rPr>
          <w:rFonts w:ascii="Arial" w:hAnsi="Arial" w:cs="Arial"/>
        </w:rPr>
        <w:t xml:space="preserve">the </w:t>
      </w:r>
      <w:hyperlink r:id="rId17" w:history="1">
        <w:r w:rsidRPr="003942E3">
          <w:rPr>
            <w:rStyle w:val="Hyperlink"/>
            <w:rFonts w:ascii="Arial" w:hAnsi="Arial" w:cs="Arial"/>
          </w:rPr>
          <w:t>Green List User Manual</w:t>
        </w:r>
      </w:hyperlink>
      <w:r w:rsidRPr="002D1E45">
        <w:rPr>
          <w:rFonts w:ascii="Arial" w:hAnsi="Arial" w:cs="Arial"/>
        </w:rPr>
        <w:t xml:space="preserve"> are consistently applied in the Green List process. They do this in a cooperative manner that aims at building capacity and enabling an unobstructed Green List process</w:t>
      </w:r>
      <w:r>
        <w:rPr>
          <w:rFonts w:ascii="Arial" w:hAnsi="Arial" w:cs="Arial"/>
        </w:rPr>
        <w:t>. T</w:t>
      </w:r>
      <w:r w:rsidRPr="004E41C1">
        <w:rPr>
          <w:rFonts w:ascii="Arial" w:hAnsi="Arial" w:cs="Arial"/>
        </w:rPr>
        <w:t>he Reviewer role includes</w:t>
      </w:r>
      <w:r>
        <w:rPr>
          <w:rFonts w:ascii="Arial" w:hAnsi="Arial" w:cs="Arial"/>
        </w:rPr>
        <w:t xml:space="preserve"> </w:t>
      </w:r>
      <w:r w:rsidRPr="004E41C1">
        <w:rPr>
          <w:rFonts w:ascii="Arial" w:hAnsi="Arial" w:cs="Arial"/>
        </w:rPr>
        <w:t xml:space="preserve">activities such as </w:t>
      </w:r>
      <w:r>
        <w:rPr>
          <w:rFonts w:ascii="Arial" w:hAnsi="Arial" w:cs="Arial"/>
        </w:rPr>
        <w:t xml:space="preserve">reviewing the proposed membership </w:t>
      </w:r>
      <w:r w:rsidRPr="004E41C1">
        <w:rPr>
          <w:rFonts w:ascii="Arial" w:hAnsi="Arial" w:cs="Arial"/>
        </w:rPr>
        <w:t xml:space="preserve">of </w:t>
      </w:r>
      <w:r>
        <w:rPr>
          <w:rFonts w:ascii="Arial" w:hAnsi="Arial" w:cs="Arial"/>
          <w:bCs/>
        </w:rPr>
        <w:t>Expert Assessment Group for the Green List (EAGLs)</w:t>
      </w:r>
      <w:r w:rsidRPr="004E41C1">
        <w:rPr>
          <w:rFonts w:ascii="Arial" w:hAnsi="Arial" w:cs="Arial"/>
        </w:rPr>
        <w:t xml:space="preserve">, </w:t>
      </w:r>
      <w:r>
        <w:rPr>
          <w:rFonts w:ascii="Arial" w:hAnsi="Arial" w:cs="Arial"/>
        </w:rPr>
        <w:t xml:space="preserve">delivering trainings on the Green List User Manual and COMPASS to EAGLs, implementing partners and PCA site representatives, and </w:t>
      </w:r>
      <w:r w:rsidRPr="004E41C1">
        <w:rPr>
          <w:rFonts w:ascii="Arial" w:hAnsi="Arial" w:cs="Arial"/>
        </w:rPr>
        <w:t xml:space="preserve">the ongoing validation of EAGL activities relating to </w:t>
      </w:r>
      <w:r>
        <w:rPr>
          <w:rFonts w:ascii="Arial" w:hAnsi="Arial" w:cs="Arial"/>
        </w:rPr>
        <w:t>t</w:t>
      </w:r>
      <w:r w:rsidRPr="004E41C1">
        <w:rPr>
          <w:rFonts w:ascii="Arial" w:hAnsi="Arial" w:cs="Arial"/>
        </w:rPr>
        <w:t>he evaluation process of applicant protected and/or conserved areas seeking Green List approval</w:t>
      </w:r>
      <w:r>
        <w:rPr>
          <w:rFonts w:ascii="Arial" w:hAnsi="Arial" w:cs="Arial"/>
        </w:rPr>
        <w:t xml:space="preserve">. In addition, the Green List counts on an Independent Assurance Provider (currently </w:t>
      </w:r>
      <w:r w:rsidRPr="0037732C">
        <w:rPr>
          <w:rFonts w:ascii="Arial" w:hAnsi="Arial" w:cs="Arial"/>
        </w:rPr>
        <w:t xml:space="preserve">Assurance Services International </w:t>
      </w:r>
      <w:r>
        <w:rPr>
          <w:rFonts w:ascii="Arial" w:hAnsi="Arial" w:cs="Arial"/>
        </w:rPr>
        <w:t>(</w:t>
      </w:r>
      <w:r w:rsidRPr="00EE61D4">
        <w:rPr>
          <w:rFonts w:ascii="Arial" w:hAnsi="Arial" w:cs="Arial"/>
        </w:rPr>
        <w:t>ASI</w:t>
      </w:r>
      <w:r>
        <w:rPr>
          <w:rFonts w:ascii="Arial" w:hAnsi="Arial" w:cs="Arial"/>
        </w:rPr>
        <w:t xml:space="preserve">)), which acts as an expert body ensuring the </w:t>
      </w:r>
      <w:r w:rsidRPr="00F5697A">
        <w:rPr>
          <w:rFonts w:ascii="Arial" w:hAnsi="Arial" w:cs="Arial"/>
        </w:rPr>
        <w:t>independence of standard-setting and evaluation as well as adequate levels of competence of the parties involved in the Green List process.</w:t>
      </w:r>
      <w:r>
        <w:rPr>
          <w:rFonts w:ascii="Arial" w:hAnsi="Arial" w:cs="Arial"/>
        </w:rPr>
        <w:t xml:space="preserve"> </w:t>
      </w:r>
    </w:p>
    <w:p w14:paraId="1FC898EE" w14:textId="0815B0FD" w:rsidR="00DA6462" w:rsidRPr="00303DED" w:rsidRDefault="00B7193E" w:rsidP="00DA6462">
      <w:pPr>
        <w:spacing w:line="240" w:lineRule="auto"/>
        <w:ind w:left="720"/>
        <w:rPr>
          <w:rFonts w:ascii="Arial" w:hAnsi="Arial" w:cs="Arial"/>
          <w:b/>
          <w:bCs/>
        </w:rPr>
      </w:pPr>
      <w:r w:rsidRPr="71E15AB4">
        <w:rPr>
          <w:rFonts w:ascii="Arial" w:hAnsi="Arial" w:cs="Arial"/>
          <w:b/>
          <w:bCs/>
        </w:rPr>
        <w:t>The Green List in</w:t>
      </w:r>
      <w:r w:rsidR="00CD14F0">
        <w:rPr>
          <w:rFonts w:ascii="Arial" w:hAnsi="Arial" w:cs="Arial"/>
          <w:b/>
          <w:bCs/>
        </w:rPr>
        <w:t xml:space="preserve"> the</w:t>
      </w:r>
      <w:r w:rsidRPr="71E15AB4">
        <w:rPr>
          <w:rFonts w:ascii="Arial" w:hAnsi="Arial" w:cs="Arial"/>
          <w:b/>
          <w:bCs/>
        </w:rPr>
        <w:t xml:space="preserve"> </w:t>
      </w:r>
      <w:r w:rsidR="57B6DAD5" w:rsidRPr="00740A5A">
        <w:rPr>
          <w:rFonts w:ascii="Arial" w:hAnsi="Arial" w:cs="Arial"/>
          <w:b/>
          <w:bCs/>
        </w:rPr>
        <w:t xml:space="preserve">Southern </w:t>
      </w:r>
      <w:r w:rsidR="00303DED" w:rsidRPr="00427599">
        <w:rPr>
          <w:rFonts w:ascii="Arial" w:hAnsi="Arial" w:cs="Arial"/>
          <w:b/>
          <w:bCs/>
        </w:rPr>
        <w:t>Europe</w:t>
      </w:r>
      <w:r w:rsidR="00755845">
        <w:rPr>
          <w:rFonts w:ascii="Arial" w:hAnsi="Arial" w:cs="Arial"/>
          <w:b/>
          <w:bCs/>
        </w:rPr>
        <w:t>an</w:t>
      </w:r>
      <w:r w:rsidR="00303DED" w:rsidRPr="00427599">
        <w:rPr>
          <w:rFonts w:ascii="Arial" w:hAnsi="Arial" w:cs="Arial"/>
          <w:b/>
          <w:bCs/>
        </w:rPr>
        <w:t xml:space="preserve"> regi</w:t>
      </w:r>
      <w:r w:rsidR="00303DED" w:rsidRPr="00B462F3">
        <w:rPr>
          <w:rFonts w:ascii="Arial" w:hAnsi="Arial" w:cs="Arial"/>
          <w:b/>
          <w:bCs/>
        </w:rPr>
        <w:t>on</w:t>
      </w:r>
    </w:p>
    <w:p w14:paraId="1BC34BB8" w14:textId="26FF25A5" w:rsidR="00315FAB" w:rsidRDefault="00315FAB" w:rsidP="00C10EE2">
      <w:pPr>
        <w:spacing w:line="240" w:lineRule="auto"/>
        <w:ind w:left="720"/>
        <w:jc w:val="both"/>
        <w:rPr>
          <w:rFonts w:ascii="Arial" w:hAnsi="Arial" w:cs="Arial"/>
        </w:rPr>
      </w:pPr>
      <w:r w:rsidRPr="00315FAB">
        <w:rPr>
          <w:rFonts w:ascii="Arial" w:hAnsi="Arial" w:cs="Arial"/>
        </w:rPr>
        <w:t>The </w:t>
      </w:r>
      <w:hyperlink r:id="rId18" w:history="1">
        <w:r w:rsidRPr="00315FAB">
          <w:rPr>
            <w:rStyle w:val="Hyperlink"/>
            <w:rFonts w:ascii="Arial" w:hAnsi="Arial" w:cs="Arial"/>
          </w:rPr>
          <w:t>Gordon and Betty Moore Foundation</w:t>
        </w:r>
      </w:hyperlink>
      <w:r w:rsidRPr="00315FAB">
        <w:rPr>
          <w:rFonts w:ascii="Arial" w:hAnsi="Arial" w:cs="Arial"/>
        </w:rPr>
        <w:t> (GBMF) has awarded the International Union for the Conservation of Nature a grant to support the implementation of the </w:t>
      </w:r>
      <w:hyperlink r:id="rId19" w:history="1">
        <w:r w:rsidRPr="00315FAB">
          <w:rPr>
            <w:rStyle w:val="Hyperlink"/>
            <w:rFonts w:ascii="Arial" w:hAnsi="Arial" w:cs="Arial"/>
          </w:rPr>
          <w:t>Green List Programme</w:t>
        </w:r>
      </w:hyperlink>
      <w:r w:rsidRPr="00315FAB">
        <w:rPr>
          <w:rFonts w:ascii="Arial" w:hAnsi="Arial" w:cs="Arial"/>
        </w:rPr>
        <w:t xml:space="preserve"> until 2030, with the objective of implementing the new Global Biodiversity Framework Targets and the 30x30 ambitions to secure biodiversity and climate benefits. </w:t>
      </w:r>
      <w:r w:rsidR="002323E3" w:rsidRPr="002323E3">
        <w:rPr>
          <w:rFonts w:ascii="Arial" w:hAnsi="Arial" w:cs="Arial"/>
        </w:rPr>
        <w:t xml:space="preserve">The project will allow to scale-up IUCN Green List in all dimensions, including enabling conditions, capacities, and essential components, </w:t>
      </w:r>
      <w:r w:rsidR="00E04AD9" w:rsidRPr="002323E3">
        <w:rPr>
          <w:rFonts w:ascii="Arial" w:hAnsi="Arial" w:cs="Arial"/>
        </w:rPr>
        <w:t>considering</w:t>
      </w:r>
      <w:r w:rsidR="002323E3" w:rsidRPr="002323E3">
        <w:rPr>
          <w:rFonts w:ascii="Arial" w:hAnsi="Arial" w:cs="Arial"/>
        </w:rPr>
        <w:t xml:space="preserve"> regional priorities. </w:t>
      </w:r>
    </w:p>
    <w:p w14:paraId="6C5AB364" w14:textId="79F5B8FD" w:rsidR="00FD7FAE" w:rsidRDefault="008E7D36" w:rsidP="00C10EE2">
      <w:pPr>
        <w:spacing w:line="240" w:lineRule="auto"/>
        <w:ind w:left="720"/>
        <w:jc w:val="both"/>
        <w:rPr>
          <w:rFonts w:ascii="Arial" w:hAnsi="Arial" w:cs="Arial"/>
        </w:rPr>
      </w:pPr>
      <w:r w:rsidRPr="71E15AB4">
        <w:rPr>
          <w:rFonts w:ascii="Arial" w:hAnsi="Arial" w:cs="Arial"/>
        </w:rPr>
        <w:t>Th</w:t>
      </w:r>
      <w:r w:rsidR="00CA38A5" w:rsidRPr="71E15AB4">
        <w:rPr>
          <w:rFonts w:ascii="Arial" w:hAnsi="Arial" w:cs="Arial"/>
        </w:rPr>
        <w:t>r</w:t>
      </w:r>
      <w:r w:rsidRPr="71E15AB4">
        <w:rPr>
          <w:rFonts w:ascii="Arial" w:hAnsi="Arial" w:cs="Arial"/>
        </w:rPr>
        <w:t xml:space="preserve">ee </w:t>
      </w:r>
      <w:r w:rsidR="21CBE613" w:rsidRPr="71E15AB4">
        <w:rPr>
          <w:rFonts w:ascii="Arial" w:hAnsi="Arial" w:cs="Arial"/>
        </w:rPr>
        <w:t>South</w:t>
      </w:r>
      <w:r w:rsidR="003F2F33">
        <w:rPr>
          <w:rFonts w:ascii="Arial" w:hAnsi="Arial" w:cs="Arial"/>
        </w:rPr>
        <w:t>ern</w:t>
      </w:r>
      <w:r w:rsidR="21CBE613" w:rsidRPr="71E15AB4">
        <w:rPr>
          <w:rFonts w:ascii="Arial" w:hAnsi="Arial" w:cs="Arial"/>
        </w:rPr>
        <w:t xml:space="preserve"> </w:t>
      </w:r>
      <w:r w:rsidRPr="71E15AB4">
        <w:rPr>
          <w:rFonts w:ascii="Arial" w:hAnsi="Arial" w:cs="Arial"/>
        </w:rPr>
        <w:t>Europe</w:t>
      </w:r>
      <w:r w:rsidR="003F2F33">
        <w:rPr>
          <w:rFonts w:ascii="Arial" w:hAnsi="Arial" w:cs="Arial"/>
        </w:rPr>
        <w:t>an</w:t>
      </w:r>
      <w:r w:rsidRPr="71E15AB4">
        <w:rPr>
          <w:rFonts w:ascii="Arial" w:hAnsi="Arial" w:cs="Arial"/>
        </w:rPr>
        <w:t xml:space="preserve"> countries have been involved in the Green List Programme since its inception: Italy, Spain and France. </w:t>
      </w:r>
      <w:r w:rsidR="00651492" w:rsidRPr="71E15AB4">
        <w:rPr>
          <w:rFonts w:ascii="Arial" w:hAnsi="Arial" w:cs="Arial"/>
        </w:rPr>
        <w:t>The implementation of the Green List in the region is</w:t>
      </w:r>
      <w:r w:rsidR="00F83E34">
        <w:rPr>
          <w:rFonts w:ascii="Arial" w:hAnsi="Arial" w:cs="Arial"/>
        </w:rPr>
        <w:t xml:space="preserve"> </w:t>
      </w:r>
      <w:r w:rsidR="00651492" w:rsidRPr="71E15AB4">
        <w:rPr>
          <w:rFonts w:ascii="Arial" w:hAnsi="Arial" w:cs="Arial"/>
        </w:rPr>
        <w:t>supported and coordinated by</w:t>
      </w:r>
      <w:r w:rsidR="00685EFB" w:rsidRPr="71E15AB4">
        <w:rPr>
          <w:rFonts w:ascii="Arial" w:hAnsi="Arial" w:cs="Arial"/>
        </w:rPr>
        <w:t xml:space="preserve"> </w:t>
      </w:r>
      <w:r w:rsidR="00DD64C3">
        <w:rPr>
          <w:rFonts w:ascii="Arial" w:hAnsi="Arial" w:cs="Arial"/>
        </w:rPr>
        <w:t xml:space="preserve">the </w:t>
      </w:r>
      <w:r w:rsidR="00685EFB" w:rsidRPr="71E15AB4">
        <w:rPr>
          <w:rFonts w:ascii="Arial" w:hAnsi="Arial" w:cs="Arial"/>
        </w:rPr>
        <w:t xml:space="preserve">IUCN Centre for Mediterranean Cooperation (IUCN-Med), </w:t>
      </w:r>
      <w:r w:rsidR="00F83E34">
        <w:rPr>
          <w:rFonts w:ascii="Arial" w:hAnsi="Arial" w:cs="Arial"/>
        </w:rPr>
        <w:t>in collaboration with the IUCN French National Committee who</w:t>
      </w:r>
      <w:r w:rsidR="00F83E34" w:rsidRPr="71E15AB4">
        <w:rPr>
          <w:rFonts w:ascii="Arial" w:hAnsi="Arial" w:cs="Arial"/>
        </w:rPr>
        <w:t xml:space="preserve"> </w:t>
      </w:r>
      <w:r w:rsidR="00B44669" w:rsidRPr="7C21C87A">
        <w:rPr>
          <w:rFonts w:ascii="Arial" w:hAnsi="Arial" w:cs="Arial"/>
        </w:rPr>
        <w:t>are</w:t>
      </w:r>
      <w:r w:rsidR="00F83E34">
        <w:rPr>
          <w:rFonts w:ascii="Arial" w:hAnsi="Arial" w:cs="Arial"/>
        </w:rPr>
        <w:t xml:space="preserve"> responsible for supporting</w:t>
      </w:r>
      <w:r w:rsidR="00156D68" w:rsidRPr="71E15AB4">
        <w:rPr>
          <w:rFonts w:ascii="Arial" w:hAnsi="Arial" w:cs="Arial"/>
        </w:rPr>
        <w:t xml:space="preserve"> and </w:t>
      </w:r>
      <w:r w:rsidR="00F83E34" w:rsidRPr="7C21C87A">
        <w:rPr>
          <w:rFonts w:ascii="Arial" w:hAnsi="Arial" w:cs="Arial"/>
        </w:rPr>
        <w:t>supervising sites in France.</w:t>
      </w:r>
      <w:r w:rsidR="00685EFB" w:rsidRPr="71E15AB4" w:rsidDel="00BB7BD9">
        <w:rPr>
          <w:rFonts w:ascii="Arial" w:hAnsi="Arial" w:cs="Arial"/>
        </w:rPr>
        <w:t xml:space="preserve"> </w:t>
      </w:r>
      <w:r w:rsidR="00E733BC" w:rsidRPr="71E15AB4">
        <w:rPr>
          <w:rFonts w:ascii="Arial" w:hAnsi="Arial" w:cs="Arial"/>
        </w:rPr>
        <w:t>The Italian EAGL, established and trained in 2019, is steadily advancing in with the assessment of candidate sites.</w:t>
      </w:r>
      <w:r w:rsidR="00DE02D1" w:rsidRPr="71E15AB4">
        <w:rPr>
          <w:rFonts w:ascii="Arial" w:hAnsi="Arial" w:cs="Arial"/>
        </w:rPr>
        <w:t xml:space="preserve"> In Spain, </w:t>
      </w:r>
      <w:r w:rsidR="00CA448A" w:rsidRPr="71E15AB4">
        <w:rPr>
          <w:rFonts w:ascii="Arial" w:hAnsi="Arial" w:cs="Arial"/>
        </w:rPr>
        <w:t xml:space="preserve">the process was relaunched </w:t>
      </w:r>
      <w:r w:rsidR="00CA448A" w:rsidRPr="7C21C87A">
        <w:rPr>
          <w:rFonts w:ascii="Arial" w:hAnsi="Arial" w:cs="Arial"/>
        </w:rPr>
        <w:t>202</w:t>
      </w:r>
      <w:r w:rsidR="00970C6F" w:rsidRPr="7C21C87A">
        <w:rPr>
          <w:rFonts w:ascii="Arial" w:hAnsi="Arial" w:cs="Arial"/>
        </w:rPr>
        <w:t>0</w:t>
      </w:r>
      <w:r w:rsidR="002A5A38" w:rsidRPr="71E15AB4">
        <w:rPr>
          <w:rFonts w:ascii="Arial" w:hAnsi="Arial" w:cs="Arial"/>
        </w:rPr>
        <w:t xml:space="preserve"> by forming</w:t>
      </w:r>
      <w:r w:rsidR="00CA448A" w:rsidRPr="71E15AB4">
        <w:rPr>
          <w:rFonts w:ascii="Arial" w:hAnsi="Arial" w:cs="Arial"/>
        </w:rPr>
        <w:t xml:space="preserve"> its EAGL, </w:t>
      </w:r>
      <w:r w:rsidR="002A5A38" w:rsidRPr="71E15AB4">
        <w:rPr>
          <w:rFonts w:ascii="Arial" w:hAnsi="Arial" w:cs="Arial"/>
        </w:rPr>
        <w:t>adapting</w:t>
      </w:r>
      <w:r w:rsidR="00CA448A" w:rsidRPr="71E15AB4">
        <w:rPr>
          <w:rFonts w:ascii="Arial" w:hAnsi="Arial" w:cs="Arial"/>
        </w:rPr>
        <w:t xml:space="preserve"> the Standard to the Spanish context and </w:t>
      </w:r>
      <w:r w:rsidR="002A5A38" w:rsidRPr="71E15AB4">
        <w:rPr>
          <w:rFonts w:ascii="Arial" w:hAnsi="Arial" w:cs="Arial"/>
        </w:rPr>
        <w:t xml:space="preserve">starting to assess </w:t>
      </w:r>
      <w:r w:rsidR="00CA38A5" w:rsidRPr="71E15AB4">
        <w:rPr>
          <w:rFonts w:ascii="Arial" w:hAnsi="Arial" w:cs="Arial"/>
        </w:rPr>
        <w:t>candidate sites</w:t>
      </w:r>
      <w:r w:rsidR="00CA448A" w:rsidRPr="71E15AB4">
        <w:rPr>
          <w:rFonts w:ascii="Arial" w:hAnsi="Arial" w:cs="Arial"/>
        </w:rPr>
        <w:t xml:space="preserve">. </w:t>
      </w:r>
    </w:p>
    <w:p w14:paraId="3E2329A2" w14:textId="7B5354FC" w:rsidR="00427599" w:rsidRDefault="000C43C4" w:rsidP="00FD7FAE">
      <w:pPr>
        <w:spacing w:line="240" w:lineRule="auto"/>
        <w:ind w:left="720"/>
        <w:jc w:val="both"/>
        <w:rPr>
          <w:rFonts w:ascii="Arial" w:hAnsi="Arial" w:cs="Arial"/>
        </w:rPr>
      </w:pPr>
      <w:r>
        <w:rPr>
          <w:rFonts w:ascii="Arial" w:hAnsi="Arial" w:cs="Arial"/>
        </w:rPr>
        <w:lastRenderedPageBreak/>
        <w:t>The</w:t>
      </w:r>
      <w:r w:rsidR="00F36A7B">
        <w:rPr>
          <w:rFonts w:ascii="Arial" w:hAnsi="Arial" w:cs="Arial"/>
        </w:rPr>
        <w:t xml:space="preserve"> </w:t>
      </w:r>
      <w:r w:rsidR="003C7746">
        <w:rPr>
          <w:rFonts w:ascii="Arial" w:hAnsi="Arial" w:cs="Arial"/>
        </w:rPr>
        <w:t xml:space="preserve">IUCN </w:t>
      </w:r>
      <w:r w:rsidR="00080C3A">
        <w:rPr>
          <w:rFonts w:ascii="Arial" w:hAnsi="Arial" w:cs="Arial"/>
        </w:rPr>
        <w:t>has identified</w:t>
      </w:r>
      <w:r w:rsidR="0074089C">
        <w:rPr>
          <w:rFonts w:ascii="Arial" w:hAnsi="Arial" w:cs="Arial"/>
        </w:rPr>
        <w:t xml:space="preserve"> </w:t>
      </w:r>
      <w:r w:rsidR="00C7541E">
        <w:rPr>
          <w:rFonts w:ascii="Arial" w:hAnsi="Arial" w:cs="Arial"/>
        </w:rPr>
        <w:t>priorities</w:t>
      </w:r>
      <w:r w:rsidR="00214E90">
        <w:rPr>
          <w:rFonts w:ascii="Arial" w:hAnsi="Arial" w:cs="Arial"/>
        </w:rPr>
        <w:t xml:space="preserve"> </w:t>
      </w:r>
      <w:r w:rsidR="00AE6A1A">
        <w:rPr>
          <w:rFonts w:ascii="Arial" w:hAnsi="Arial" w:cs="Arial"/>
        </w:rPr>
        <w:t>for strengthening</w:t>
      </w:r>
      <w:r w:rsidR="00214E90">
        <w:rPr>
          <w:rFonts w:ascii="Arial" w:hAnsi="Arial" w:cs="Arial"/>
        </w:rPr>
        <w:t xml:space="preserve"> the </w:t>
      </w:r>
      <w:r w:rsidR="00F750CD">
        <w:rPr>
          <w:rFonts w:ascii="Arial" w:hAnsi="Arial" w:cs="Arial"/>
        </w:rPr>
        <w:t xml:space="preserve">implementation of the Green List </w:t>
      </w:r>
      <w:r w:rsidR="00C7541E">
        <w:rPr>
          <w:rFonts w:ascii="Arial" w:hAnsi="Arial" w:cs="Arial"/>
        </w:rPr>
        <w:t>at the regional level. In</w:t>
      </w:r>
      <w:r w:rsidR="00F750CD">
        <w:rPr>
          <w:rFonts w:ascii="Arial" w:hAnsi="Arial" w:cs="Arial"/>
        </w:rPr>
        <w:t xml:space="preserve"> Southern Europe</w:t>
      </w:r>
      <w:r w:rsidR="00C7541E">
        <w:rPr>
          <w:rFonts w:ascii="Arial" w:hAnsi="Arial" w:cs="Arial"/>
        </w:rPr>
        <w:t xml:space="preserve">, the </w:t>
      </w:r>
      <w:r w:rsidR="00BD4FC5">
        <w:rPr>
          <w:rFonts w:ascii="Arial" w:hAnsi="Arial" w:cs="Arial"/>
        </w:rPr>
        <w:t>primary objective is</w:t>
      </w:r>
      <w:r w:rsidR="005755B0">
        <w:rPr>
          <w:rFonts w:ascii="Arial" w:hAnsi="Arial" w:cs="Arial"/>
        </w:rPr>
        <w:t xml:space="preserve"> to </w:t>
      </w:r>
      <w:r w:rsidR="00A86C00">
        <w:rPr>
          <w:rFonts w:ascii="Arial" w:hAnsi="Arial" w:cs="Arial"/>
        </w:rPr>
        <w:t>consolidate commitments from existing countries and to engage new count</w:t>
      </w:r>
      <w:r w:rsidR="00843A02">
        <w:rPr>
          <w:rFonts w:ascii="Arial" w:hAnsi="Arial" w:cs="Arial"/>
        </w:rPr>
        <w:t xml:space="preserve">ries, focusing on Portugal, Greece, Croatia, </w:t>
      </w:r>
      <w:r w:rsidR="00525D76">
        <w:rPr>
          <w:rFonts w:ascii="Arial" w:hAnsi="Arial" w:cs="Arial"/>
        </w:rPr>
        <w:t>Montenegro</w:t>
      </w:r>
      <w:r w:rsidR="00843A02">
        <w:rPr>
          <w:rFonts w:ascii="Arial" w:hAnsi="Arial" w:cs="Arial"/>
        </w:rPr>
        <w:t xml:space="preserve"> and </w:t>
      </w:r>
      <w:r w:rsidR="00525D76">
        <w:rPr>
          <w:rFonts w:ascii="Arial" w:hAnsi="Arial" w:cs="Arial"/>
        </w:rPr>
        <w:t>Albania</w:t>
      </w:r>
      <w:r w:rsidR="00843A02">
        <w:rPr>
          <w:rFonts w:ascii="Arial" w:hAnsi="Arial" w:cs="Arial"/>
        </w:rPr>
        <w:t xml:space="preserve"> as strategic priorities.</w:t>
      </w:r>
      <w:r w:rsidR="008C35CC">
        <w:rPr>
          <w:rFonts w:ascii="Arial" w:hAnsi="Arial" w:cs="Arial"/>
        </w:rPr>
        <w:t xml:space="preserve"> </w:t>
      </w:r>
      <w:r w:rsidR="00BF6C0B">
        <w:rPr>
          <w:rFonts w:ascii="Arial" w:hAnsi="Arial" w:cs="Arial"/>
        </w:rPr>
        <w:t xml:space="preserve">In addition, State Parties to the Barcelona Convention </w:t>
      </w:r>
      <w:r w:rsidR="008B4947">
        <w:rPr>
          <w:rFonts w:ascii="Arial" w:hAnsi="Arial" w:cs="Arial"/>
        </w:rPr>
        <w:t>are another strategic focus to</w:t>
      </w:r>
      <w:r w:rsidR="00BF6C0B">
        <w:rPr>
          <w:rFonts w:ascii="Arial" w:hAnsi="Arial" w:cs="Arial"/>
        </w:rPr>
        <w:t xml:space="preserve"> </w:t>
      </w:r>
      <w:r w:rsidR="008B4947">
        <w:rPr>
          <w:rFonts w:ascii="Arial" w:hAnsi="Arial" w:cs="Arial"/>
        </w:rPr>
        <w:t>promote</w:t>
      </w:r>
      <w:r w:rsidR="00BF6C0B">
        <w:rPr>
          <w:rFonts w:ascii="Arial" w:hAnsi="Arial" w:cs="Arial"/>
        </w:rPr>
        <w:t xml:space="preserve"> the Green List as a standard for MPA management effectiveness, leveraging on the endorsement of the Green List</w:t>
      </w:r>
      <w:r w:rsidR="00BF6C0B" w:rsidRPr="00931E0D">
        <w:rPr>
          <w:rFonts w:ascii="Arial" w:hAnsi="Arial" w:cs="Arial"/>
        </w:rPr>
        <w:t xml:space="preserve"> as a Flagship Initiative under the </w:t>
      </w:r>
      <w:r w:rsidR="00BF6C0B">
        <w:rPr>
          <w:rFonts w:ascii="Arial" w:hAnsi="Arial" w:cs="Arial"/>
        </w:rPr>
        <w:t xml:space="preserve">Barcelona Convention’s </w:t>
      </w:r>
      <w:r w:rsidR="00BF6C0B" w:rsidRPr="00931E0D">
        <w:rPr>
          <w:rFonts w:ascii="Arial" w:hAnsi="Arial" w:cs="Arial"/>
        </w:rPr>
        <w:t>Mediterranean Strategy on Sustainable Development</w:t>
      </w:r>
      <w:r w:rsidR="00BF6C0B">
        <w:rPr>
          <w:rFonts w:ascii="Arial" w:hAnsi="Arial" w:cs="Arial"/>
        </w:rPr>
        <w:t>.</w:t>
      </w:r>
      <w:r w:rsidR="0054352A">
        <w:rPr>
          <w:rFonts w:ascii="Arial" w:hAnsi="Arial" w:cs="Arial"/>
        </w:rPr>
        <w:t xml:space="preserve"> </w:t>
      </w:r>
      <w:r w:rsidR="000F5740">
        <w:rPr>
          <w:rFonts w:ascii="Arial" w:hAnsi="Arial" w:cs="Arial"/>
        </w:rPr>
        <w:t xml:space="preserve">Notable progress towards </w:t>
      </w:r>
      <w:r w:rsidR="00AD6850">
        <w:rPr>
          <w:rFonts w:ascii="Arial" w:hAnsi="Arial" w:cs="Arial"/>
        </w:rPr>
        <w:t xml:space="preserve">these regional priorities </w:t>
      </w:r>
      <w:r w:rsidR="00C95407">
        <w:rPr>
          <w:rFonts w:ascii="Arial" w:hAnsi="Arial" w:cs="Arial"/>
        </w:rPr>
        <w:t xml:space="preserve">has been achieved in </w:t>
      </w:r>
      <w:r w:rsidR="008C35CC">
        <w:rPr>
          <w:rFonts w:ascii="Arial" w:hAnsi="Arial" w:cs="Arial"/>
        </w:rPr>
        <w:t>Albania</w:t>
      </w:r>
      <w:r w:rsidR="00917974">
        <w:rPr>
          <w:rFonts w:ascii="Arial" w:hAnsi="Arial" w:cs="Arial"/>
        </w:rPr>
        <w:t>, who</w:t>
      </w:r>
      <w:r w:rsidR="00FC34B7">
        <w:rPr>
          <w:rFonts w:ascii="Arial" w:hAnsi="Arial" w:cs="Arial"/>
        </w:rPr>
        <w:t xml:space="preserve"> </w:t>
      </w:r>
      <w:r w:rsidR="00A625E4">
        <w:rPr>
          <w:rFonts w:ascii="Arial" w:hAnsi="Arial" w:cs="Arial"/>
        </w:rPr>
        <w:t>joined IUCN as a State Member in 2024</w:t>
      </w:r>
      <w:r w:rsidR="00917974">
        <w:rPr>
          <w:rFonts w:ascii="Arial" w:hAnsi="Arial" w:cs="Arial"/>
        </w:rPr>
        <w:t xml:space="preserve">, </w:t>
      </w:r>
      <w:r w:rsidR="00C95407">
        <w:rPr>
          <w:rFonts w:ascii="Arial" w:hAnsi="Arial" w:cs="Arial"/>
        </w:rPr>
        <w:t>highlighting</w:t>
      </w:r>
      <w:r w:rsidR="00C564D4">
        <w:rPr>
          <w:rFonts w:ascii="Arial" w:hAnsi="Arial" w:cs="Arial"/>
        </w:rPr>
        <w:t xml:space="preserve"> the Green List as key area for collaboration</w:t>
      </w:r>
      <w:r w:rsidR="00917974">
        <w:rPr>
          <w:rFonts w:ascii="Arial" w:hAnsi="Arial" w:cs="Arial"/>
        </w:rPr>
        <w:t xml:space="preserve"> with IUCN, with work </w:t>
      </w:r>
      <w:r w:rsidR="008C35CC">
        <w:rPr>
          <w:rFonts w:ascii="Arial" w:hAnsi="Arial" w:cs="Arial"/>
        </w:rPr>
        <w:t xml:space="preserve">already underway to </w:t>
      </w:r>
      <w:r w:rsidR="00722F83">
        <w:rPr>
          <w:rFonts w:ascii="Arial" w:hAnsi="Arial" w:cs="Arial"/>
        </w:rPr>
        <w:t>align the Vjo</w:t>
      </w:r>
      <w:r w:rsidR="00E9776F">
        <w:rPr>
          <w:rFonts w:ascii="Arial" w:hAnsi="Arial" w:cs="Arial"/>
        </w:rPr>
        <w:t>sa Wild River National Park with the Green List standard</w:t>
      </w:r>
      <w:r w:rsidR="00A625E4">
        <w:rPr>
          <w:rFonts w:ascii="Arial" w:hAnsi="Arial" w:cs="Arial"/>
        </w:rPr>
        <w:t>.</w:t>
      </w:r>
      <w:r w:rsidR="00C95407">
        <w:rPr>
          <w:rFonts w:ascii="Arial" w:hAnsi="Arial" w:cs="Arial"/>
        </w:rPr>
        <w:t xml:space="preserve"> </w:t>
      </w:r>
      <w:r w:rsidR="009C2AF4">
        <w:rPr>
          <w:rFonts w:ascii="Arial" w:hAnsi="Arial" w:cs="Arial"/>
        </w:rPr>
        <w:t>IUCN-Med is collaborating with the IUCN Regional Office for Eastern Europe and Central Asia (ECARO)</w:t>
      </w:r>
      <w:r w:rsidR="00840CD2">
        <w:rPr>
          <w:rFonts w:ascii="Arial" w:hAnsi="Arial" w:cs="Arial"/>
        </w:rPr>
        <w:t xml:space="preserve"> and the global IUCN Green List team to </w:t>
      </w:r>
      <w:r w:rsidR="00CA5B45">
        <w:rPr>
          <w:rFonts w:ascii="Arial" w:hAnsi="Arial" w:cs="Arial"/>
        </w:rPr>
        <w:t>promote and support</w:t>
      </w:r>
      <w:r w:rsidR="00DD2082">
        <w:rPr>
          <w:rFonts w:ascii="Arial" w:hAnsi="Arial" w:cs="Arial"/>
        </w:rPr>
        <w:t xml:space="preserve"> the</w:t>
      </w:r>
      <w:r w:rsidR="00B253E0">
        <w:rPr>
          <w:rFonts w:ascii="Arial" w:hAnsi="Arial" w:cs="Arial"/>
        </w:rPr>
        <w:t xml:space="preserve"> amplification of the Green List within the Balkan countries, </w:t>
      </w:r>
      <w:r w:rsidR="00DD2082">
        <w:rPr>
          <w:rFonts w:ascii="Arial" w:hAnsi="Arial" w:cs="Arial"/>
        </w:rPr>
        <w:t xml:space="preserve">exploring the establishment of a regional EAGL. </w:t>
      </w:r>
    </w:p>
    <w:p w14:paraId="33DB449C" w14:textId="77777777" w:rsidR="009C0859" w:rsidRPr="001032CA" w:rsidRDefault="009C0859" w:rsidP="009C0859">
      <w:pPr>
        <w:spacing w:line="240" w:lineRule="auto"/>
        <w:rPr>
          <w:rFonts w:ascii="Arial" w:hAnsi="Arial" w:cs="Arial"/>
          <w:b/>
        </w:rPr>
      </w:pPr>
      <w:r w:rsidRPr="001032CA">
        <w:rPr>
          <w:rFonts w:ascii="Arial" w:hAnsi="Arial" w:cs="Arial"/>
          <w:b/>
        </w:rPr>
        <w:t>Description of the Assignment</w:t>
      </w:r>
    </w:p>
    <w:p w14:paraId="076D438B" w14:textId="1207FC03" w:rsidR="001329E4" w:rsidRPr="00740A5A" w:rsidRDefault="00A23FA7" w:rsidP="00F12CA6">
      <w:pPr>
        <w:spacing w:line="240" w:lineRule="auto"/>
        <w:ind w:left="720"/>
        <w:jc w:val="both"/>
        <w:rPr>
          <w:rFonts w:ascii="Arial" w:hAnsi="Arial" w:cs="Arial"/>
        </w:rPr>
      </w:pPr>
      <w:r w:rsidRPr="71E15AB4">
        <w:rPr>
          <w:rFonts w:ascii="Arial" w:hAnsi="Arial" w:cs="Arial"/>
        </w:rPr>
        <w:t xml:space="preserve">The </w:t>
      </w:r>
      <w:r w:rsidRPr="00740A5A">
        <w:rPr>
          <w:rFonts w:ascii="Arial" w:hAnsi="Arial" w:cs="Arial"/>
        </w:rPr>
        <w:t xml:space="preserve">Reviewer shall ensure that the rules and procedures of the Green List User Manual are consistently applied in the Green List process within the </w:t>
      </w:r>
      <w:r w:rsidR="0807F7A8" w:rsidRPr="00740A5A">
        <w:rPr>
          <w:rFonts w:ascii="Arial" w:hAnsi="Arial" w:cs="Arial"/>
        </w:rPr>
        <w:t xml:space="preserve">Southern </w:t>
      </w:r>
      <w:r w:rsidR="00303DED" w:rsidRPr="00740A5A">
        <w:rPr>
          <w:rFonts w:ascii="Arial" w:hAnsi="Arial" w:cs="Arial"/>
        </w:rPr>
        <w:t>Europe</w:t>
      </w:r>
      <w:r w:rsidR="00427599">
        <w:rPr>
          <w:rFonts w:ascii="Arial" w:hAnsi="Arial" w:cs="Arial"/>
        </w:rPr>
        <w:t>an</w:t>
      </w:r>
      <w:r w:rsidR="00303DED" w:rsidRPr="00740A5A">
        <w:rPr>
          <w:rFonts w:ascii="Arial" w:hAnsi="Arial" w:cs="Arial"/>
        </w:rPr>
        <w:t xml:space="preserve"> region</w:t>
      </w:r>
      <w:r w:rsidR="1E5A05D3" w:rsidRPr="00740A5A">
        <w:rPr>
          <w:rFonts w:ascii="Arial" w:hAnsi="Arial" w:cs="Arial"/>
        </w:rPr>
        <w:t>, as requested</w:t>
      </w:r>
      <w:r w:rsidRPr="00740A5A">
        <w:rPr>
          <w:rFonts w:ascii="Arial" w:hAnsi="Arial" w:cs="Arial"/>
        </w:rPr>
        <w:t>.</w:t>
      </w:r>
      <w:r w:rsidR="00BC141A" w:rsidRPr="00740A5A">
        <w:rPr>
          <w:rFonts w:ascii="Arial" w:hAnsi="Arial" w:cs="Arial"/>
        </w:rPr>
        <w:t xml:space="preserve"> The geographic area is extended to cover the </w:t>
      </w:r>
      <w:r w:rsidR="02E85293" w:rsidRPr="00740A5A">
        <w:rPr>
          <w:rFonts w:ascii="Arial" w:hAnsi="Arial" w:cs="Arial"/>
        </w:rPr>
        <w:t>Southern Europe</w:t>
      </w:r>
      <w:r w:rsidR="00427599">
        <w:rPr>
          <w:rFonts w:ascii="Arial" w:hAnsi="Arial" w:cs="Arial"/>
        </w:rPr>
        <w:t>an</w:t>
      </w:r>
      <w:r w:rsidR="00BC141A" w:rsidRPr="00740A5A">
        <w:rPr>
          <w:rFonts w:ascii="Arial" w:hAnsi="Arial" w:cs="Arial"/>
        </w:rPr>
        <w:t xml:space="preserve"> space, including</w:t>
      </w:r>
      <w:r w:rsidR="00F12CA6" w:rsidRPr="00740A5A">
        <w:rPr>
          <w:rFonts w:ascii="Arial" w:hAnsi="Arial" w:cs="Arial"/>
        </w:rPr>
        <w:t xml:space="preserve">, </w:t>
      </w:r>
      <w:r w:rsidR="00BC141A" w:rsidRPr="00740A5A">
        <w:rPr>
          <w:rFonts w:ascii="Arial" w:hAnsi="Arial" w:cs="Arial"/>
        </w:rPr>
        <w:t>Albania, Bosnia &amp; Herzegovina, Bulgaria, Croatia, Greece, Italy, Kosovo, Macedonia, Montenegro, Romania, Serbia, Slovenia, Spain and T</w:t>
      </w:r>
      <w:r w:rsidR="00F12CA6" w:rsidRPr="00740A5A">
        <w:rPr>
          <w:rFonts w:ascii="Arial" w:hAnsi="Arial" w:cs="Arial"/>
        </w:rPr>
        <w:t>ürkiye.</w:t>
      </w:r>
      <w:r w:rsidR="00FA5A39" w:rsidRPr="00740A5A">
        <w:rPr>
          <w:rFonts w:ascii="Arial" w:hAnsi="Arial" w:cs="Arial"/>
        </w:rPr>
        <w:t xml:space="preserve"> </w:t>
      </w:r>
    </w:p>
    <w:p w14:paraId="7409A3B3" w14:textId="036435D2" w:rsidR="00BA5C8A" w:rsidRDefault="00A23FA7" w:rsidP="00F12CA6">
      <w:pPr>
        <w:spacing w:line="240" w:lineRule="auto"/>
        <w:ind w:left="720"/>
        <w:jc w:val="both"/>
        <w:rPr>
          <w:rFonts w:ascii="Arial" w:hAnsi="Arial" w:cs="Arial"/>
        </w:rPr>
      </w:pPr>
      <w:r w:rsidRPr="00740A5A">
        <w:rPr>
          <w:rFonts w:ascii="Arial" w:hAnsi="Arial" w:cs="Arial"/>
        </w:rPr>
        <w:t xml:space="preserve">The Reviewer will be expected to </w:t>
      </w:r>
      <w:r w:rsidR="00374DF7" w:rsidRPr="00740A5A">
        <w:rPr>
          <w:rFonts w:ascii="Arial" w:hAnsi="Arial" w:cs="Arial"/>
        </w:rPr>
        <w:t>work alongside IUCN to provide ongoing support</w:t>
      </w:r>
      <w:r w:rsidR="004E0F96" w:rsidRPr="71E15AB4">
        <w:rPr>
          <w:rFonts w:ascii="Arial" w:hAnsi="Arial" w:cs="Arial"/>
        </w:rPr>
        <w:t xml:space="preserve"> </w:t>
      </w:r>
      <w:r w:rsidR="00374DF7" w:rsidRPr="71E15AB4">
        <w:rPr>
          <w:rFonts w:ascii="Arial" w:hAnsi="Arial" w:cs="Arial"/>
        </w:rPr>
        <w:t>for the operation of the</w:t>
      </w:r>
      <w:r w:rsidR="004E0F96" w:rsidRPr="71E15AB4">
        <w:rPr>
          <w:rFonts w:ascii="Arial" w:hAnsi="Arial" w:cs="Arial"/>
        </w:rPr>
        <w:t xml:space="preserve"> </w:t>
      </w:r>
      <w:r w:rsidR="00ED00C4" w:rsidRPr="71E15AB4">
        <w:rPr>
          <w:rFonts w:ascii="Arial" w:hAnsi="Arial" w:cs="Arial"/>
        </w:rPr>
        <w:t>Spanish and Italian EAG</w:t>
      </w:r>
      <w:r w:rsidR="00C4329A" w:rsidRPr="71E15AB4">
        <w:rPr>
          <w:rFonts w:ascii="Arial" w:hAnsi="Arial" w:cs="Arial"/>
        </w:rPr>
        <w:t>L</w:t>
      </w:r>
      <w:r w:rsidR="00774DB1" w:rsidRPr="71E15AB4">
        <w:rPr>
          <w:rFonts w:ascii="Arial" w:hAnsi="Arial" w:cs="Arial"/>
        </w:rPr>
        <w:t>, including supporting the renewal of the Spanish EAGL</w:t>
      </w:r>
      <w:r w:rsidR="00C4329A" w:rsidRPr="71E15AB4">
        <w:rPr>
          <w:rFonts w:ascii="Arial" w:hAnsi="Arial" w:cs="Arial"/>
        </w:rPr>
        <w:t xml:space="preserve">. </w:t>
      </w:r>
      <w:r w:rsidR="00A6254F" w:rsidRPr="71E15AB4">
        <w:rPr>
          <w:rFonts w:ascii="Arial" w:hAnsi="Arial" w:cs="Arial"/>
        </w:rPr>
        <w:t>The Reviewer will also be expected to</w:t>
      </w:r>
      <w:r w:rsidR="00FA5A39" w:rsidRPr="71E15AB4">
        <w:rPr>
          <w:rFonts w:ascii="Arial" w:hAnsi="Arial" w:cs="Arial"/>
        </w:rPr>
        <w:t xml:space="preserve"> </w:t>
      </w:r>
      <w:r w:rsidR="00A6254F" w:rsidRPr="71E15AB4">
        <w:rPr>
          <w:rFonts w:ascii="Arial" w:hAnsi="Arial" w:cs="Arial"/>
        </w:rPr>
        <w:t>support</w:t>
      </w:r>
      <w:r w:rsidR="00FA5A39" w:rsidRPr="71E15AB4">
        <w:rPr>
          <w:rFonts w:ascii="Arial" w:hAnsi="Arial" w:cs="Arial"/>
        </w:rPr>
        <w:t xml:space="preserve"> the coordination and formation of new EAGLs in the area, as </w:t>
      </w:r>
      <w:r w:rsidR="5029DBD8" w:rsidRPr="71E15AB4">
        <w:rPr>
          <w:rFonts w:ascii="Arial" w:hAnsi="Arial" w:cs="Arial"/>
        </w:rPr>
        <w:t>request</w:t>
      </w:r>
      <w:r w:rsidR="00774DB1" w:rsidRPr="71E15AB4">
        <w:rPr>
          <w:rFonts w:ascii="Arial" w:hAnsi="Arial" w:cs="Arial"/>
        </w:rPr>
        <w:t>ed.</w:t>
      </w:r>
    </w:p>
    <w:p w14:paraId="665F15B1" w14:textId="08C4B5AB" w:rsidR="00A6254F" w:rsidRDefault="00A23FA7" w:rsidP="00A6254F">
      <w:pPr>
        <w:spacing w:line="240" w:lineRule="auto"/>
        <w:ind w:left="720"/>
        <w:rPr>
          <w:rFonts w:ascii="Arial" w:hAnsi="Arial" w:cs="Arial"/>
        </w:rPr>
      </w:pPr>
      <w:r>
        <w:rPr>
          <w:rFonts w:ascii="Arial" w:hAnsi="Arial" w:cs="Arial"/>
        </w:rPr>
        <w:t xml:space="preserve">Specifically, the Reviewer will assume the following responsibilities within the framework of the Green List implementation: </w:t>
      </w:r>
    </w:p>
    <w:p w14:paraId="350826B8" w14:textId="0E8D6468" w:rsidR="00A6254F" w:rsidRPr="00EE61D4" w:rsidRDefault="00A6254F" w:rsidP="00A6254F">
      <w:pPr>
        <w:spacing w:line="240" w:lineRule="auto"/>
        <w:ind w:left="720"/>
        <w:rPr>
          <w:rFonts w:ascii="Arial" w:hAnsi="Arial" w:cs="Arial"/>
          <w:b/>
          <w:bCs/>
        </w:rPr>
      </w:pPr>
      <w:r>
        <w:rPr>
          <w:rFonts w:ascii="Arial" w:hAnsi="Arial" w:cs="Arial"/>
          <w:b/>
          <w:bCs/>
        </w:rPr>
        <w:t>1</w:t>
      </w:r>
      <w:r w:rsidRPr="00EE61D4">
        <w:rPr>
          <w:rFonts w:ascii="Arial" w:hAnsi="Arial" w:cs="Arial"/>
          <w:b/>
          <w:bCs/>
        </w:rPr>
        <w:t xml:space="preserve">: </w:t>
      </w:r>
      <w:r w:rsidRPr="00740A5A">
        <w:rPr>
          <w:rFonts w:ascii="Arial" w:hAnsi="Arial" w:cs="Arial"/>
          <w:b/>
          <w:bCs/>
        </w:rPr>
        <w:t xml:space="preserve">General </w:t>
      </w:r>
      <w:r w:rsidR="00B85A15">
        <w:rPr>
          <w:rFonts w:ascii="Arial" w:hAnsi="Arial" w:cs="Arial"/>
          <w:b/>
          <w:bCs/>
        </w:rPr>
        <w:t>Activities</w:t>
      </w:r>
      <w:r w:rsidR="00B85A15" w:rsidRPr="011CE4E3">
        <w:rPr>
          <w:rFonts w:ascii="Arial" w:hAnsi="Arial" w:cs="Arial"/>
          <w:b/>
          <w:bCs/>
        </w:rPr>
        <w:t xml:space="preserve"> </w:t>
      </w:r>
    </w:p>
    <w:p w14:paraId="14C21DEA" w14:textId="00E959B0" w:rsidR="00A6254F" w:rsidRPr="00427599" w:rsidRDefault="00A6254F" w:rsidP="00A6254F">
      <w:pPr>
        <w:pStyle w:val="ListParagraph"/>
        <w:numPr>
          <w:ilvl w:val="0"/>
          <w:numId w:val="7"/>
        </w:numPr>
        <w:spacing w:line="240" w:lineRule="auto"/>
        <w:rPr>
          <w:rFonts w:ascii="Arial" w:hAnsi="Arial" w:cs="Arial"/>
        </w:rPr>
      </w:pPr>
      <w:r w:rsidRPr="71E15AB4">
        <w:rPr>
          <w:rFonts w:ascii="Arial" w:hAnsi="Arial" w:cs="Arial"/>
        </w:rPr>
        <w:t xml:space="preserve">Regular communication with </w:t>
      </w:r>
      <w:r w:rsidRPr="00427599">
        <w:rPr>
          <w:rFonts w:ascii="Arial" w:hAnsi="Arial" w:cs="Arial"/>
        </w:rPr>
        <w:t xml:space="preserve">IUCN and ASI in relation to the implementation of the IUCN Green List in the </w:t>
      </w:r>
      <w:r w:rsidR="279190AC" w:rsidRPr="00427599">
        <w:rPr>
          <w:rFonts w:ascii="Arial" w:hAnsi="Arial" w:cs="Arial"/>
        </w:rPr>
        <w:t xml:space="preserve">Southern </w:t>
      </w:r>
      <w:r w:rsidR="00303DED" w:rsidRPr="00427599">
        <w:rPr>
          <w:rFonts w:ascii="Arial" w:hAnsi="Arial" w:cs="Arial"/>
        </w:rPr>
        <w:t>Europe</w:t>
      </w:r>
      <w:r w:rsidR="00427599" w:rsidRPr="00427599">
        <w:rPr>
          <w:rFonts w:ascii="Arial" w:hAnsi="Arial" w:cs="Arial"/>
        </w:rPr>
        <w:t>an</w:t>
      </w:r>
      <w:r w:rsidR="66FBB9F5" w:rsidRPr="00427599">
        <w:rPr>
          <w:rFonts w:ascii="Arial" w:hAnsi="Arial" w:cs="Arial"/>
        </w:rPr>
        <w:t xml:space="preserve"> </w:t>
      </w:r>
      <w:r w:rsidR="00303DED" w:rsidRPr="00427599">
        <w:rPr>
          <w:rFonts w:ascii="Arial" w:hAnsi="Arial" w:cs="Arial"/>
        </w:rPr>
        <w:t>region</w:t>
      </w:r>
    </w:p>
    <w:p w14:paraId="15A705E7" w14:textId="254BB459" w:rsidR="00303DED" w:rsidRPr="00427599" w:rsidRDefault="00D92A90" w:rsidP="00E22BA7">
      <w:pPr>
        <w:pStyle w:val="ListParagraph"/>
        <w:numPr>
          <w:ilvl w:val="0"/>
          <w:numId w:val="7"/>
        </w:numPr>
        <w:spacing w:line="240" w:lineRule="auto"/>
        <w:rPr>
          <w:rFonts w:ascii="Arial" w:hAnsi="Arial" w:cs="Arial"/>
        </w:rPr>
      </w:pPr>
      <w:r w:rsidRPr="00427599">
        <w:rPr>
          <w:rFonts w:ascii="Arial" w:hAnsi="Arial" w:cs="Arial"/>
        </w:rPr>
        <w:t>Regular Communication with EAGLs, IUCN</w:t>
      </w:r>
      <w:r w:rsidR="008522C0" w:rsidRPr="00427599">
        <w:rPr>
          <w:rFonts w:ascii="Arial" w:hAnsi="Arial" w:cs="Arial"/>
        </w:rPr>
        <w:t>-</w:t>
      </w:r>
      <w:r w:rsidRPr="00427599">
        <w:rPr>
          <w:rFonts w:ascii="Arial" w:hAnsi="Arial" w:cs="Arial"/>
        </w:rPr>
        <w:t>Med, IUCN, mentors and Implementing Agencies in relation to the Green List process in Italy and Spain and the wider</w:t>
      </w:r>
      <w:r w:rsidR="008522C0" w:rsidRPr="00427599">
        <w:rPr>
          <w:rFonts w:ascii="Arial" w:hAnsi="Arial" w:cs="Arial"/>
        </w:rPr>
        <w:t xml:space="preserve"> </w:t>
      </w:r>
      <w:r w:rsidR="2079EEFF" w:rsidRPr="00427599">
        <w:rPr>
          <w:rFonts w:ascii="Arial" w:hAnsi="Arial" w:cs="Arial"/>
        </w:rPr>
        <w:t xml:space="preserve">Southern </w:t>
      </w:r>
      <w:r w:rsidR="008522C0" w:rsidRPr="00427599">
        <w:rPr>
          <w:rFonts w:ascii="Arial" w:hAnsi="Arial" w:cs="Arial"/>
        </w:rPr>
        <w:t>Europe</w:t>
      </w:r>
      <w:r w:rsidR="00427599" w:rsidRPr="00427599">
        <w:rPr>
          <w:rFonts w:ascii="Arial" w:hAnsi="Arial" w:cs="Arial"/>
        </w:rPr>
        <w:t>an</w:t>
      </w:r>
      <w:r w:rsidRPr="00427599">
        <w:rPr>
          <w:rFonts w:ascii="Arial" w:hAnsi="Arial" w:cs="Arial"/>
        </w:rPr>
        <w:t xml:space="preserve"> region. </w:t>
      </w:r>
    </w:p>
    <w:p w14:paraId="1B95CB3C" w14:textId="378F75CD" w:rsidR="00A6254F" w:rsidRDefault="00A6254F" w:rsidP="00A6254F">
      <w:pPr>
        <w:pStyle w:val="ListParagraph"/>
        <w:numPr>
          <w:ilvl w:val="0"/>
          <w:numId w:val="7"/>
        </w:numPr>
        <w:spacing w:line="240" w:lineRule="auto"/>
        <w:rPr>
          <w:rFonts w:ascii="Arial" w:hAnsi="Arial" w:cs="Arial"/>
        </w:rPr>
      </w:pPr>
      <w:r w:rsidRPr="00EE61D4">
        <w:rPr>
          <w:rFonts w:ascii="Arial" w:hAnsi="Arial" w:cs="Arial"/>
        </w:rPr>
        <w:t xml:space="preserve">Support to the update process of the </w:t>
      </w:r>
      <w:r>
        <w:rPr>
          <w:rFonts w:ascii="Arial" w:hAnsi="Arial" w:cs="Arial"/>
        </w:rPr>
        <w:t>Green List</w:t>
      </w:r>
      <w:r w:rsidRPr="00EE61D4">
        <w:rPr>
          <w:rFonts w:ascii="Arial" w:hAnsi="Arial" w:cs="Arial"/>
        </w:rPr>
        <w:t xml:space="preserve"> User Manual (as needed)</w:t>
      </w:r>
    </w:p>
    <w:p w14:paraId="1A68F5D4" w14:textId="1640917B" w:rsidR="006322E6" w:rsidRDefault="006322E6" w:rsidP="006322E6">
      <w:pPr>
        <w:spacing w:line="240" w:lineRule="auto"/>
        <w:ind w:left="720"/>
        <w:rPr>
          <w:rFonts w:ascii="Arial" w:hAnsi="Arial" w:cs="Arial"/>
        </w:rPr>
      </w:pPr>
      <w:r>
        <w:rPr>
          <w:rFonts w:ascii="Arial" w:hAnsi="Arial" w:cs="Arial"/>
          <w:b/>
          <w:bCs/>
        </w:rPr>
        <w:t>2</w:t>
      </w:r>
      <w:r w:rsidR="004F14CB" w:rsidRPr="006322E6">
        <w:rPr>
          <w:rFonts w:ascii="Arial" w:hAnsi="Arial" w:cs="Arial"/>
          <w:b/>
          <w:bCs/>
        </w:rPr>
        <w:t xml:space="preserve">: </w:t>
      </w:r>
      <w:r w:rsidR="00A201F0">
        <w:rPr>
          <w:rFonts w:ascii="Arial" w:hAnsi="Arial" w:cs="Arial"/>
          <w:b/>
          <w:bCs/>
        </w:rPr>
        <w:t>Support</w:t>
      </w:r>
      <w:r w:rsidR="004F14CB" w:rsidRPr="006322E6">
        <w:rPr>
          <w:rFonts w:ascii="Arial" w:hAnsi="Arial" w:cs="Arial"/>
          <w:b/>
          <w:bCs/>
        </w:rPr>
        <w:t xml:space="preserve"> the operation of the Italian and Spanish EAGLs, and the other countries within the extended geographic area (see </w:t>
      </w:r>
      <w:r w:rsidR="004F14CB" w:rsidRPr="009541B3">
        <w:rPr>
          <w:rFonts w:ascii="Arial" w:hAnsi="Arial" w:cs="Arial"/>
          <w:b/>
          <w:bCs/>
        </w:rPr>
        <w:t xml:space="preserve">above) </w:t>
      </w:r>
    </w:p>
    <w:p w14:paraId="1D8DB12D" w14:textId="5AB51CF4" w:rsidR="00F47BB6" w:rsidRDefault="004F14CB" w:rsidP="006322E6">
      <w:pPr>
        <w:pStyle w:val="ListParagraph"/>
        <w:numPr>
          <w:ilvl w:val="0"/>
          <w:numId w:val="8"/>
        </w:numPr>
        <w:spacing w:line="240" w:lineRule="auto"/>
        <w:rPr>
          <w:rFonts w:ascii="Arial" w:hAnsi="Arial" w:cs="Arial"/>
        </w:rPr>
      </w:pPr>
      <w:r w:rsidRPr="71E15AB4">
        <w:rPr>
          <w:rFonts w:ascii="Arial" w:hAnsi="Arial" w:cs="Arial"/>
        </w:rPr>
        <w:t>Supervision of EAGL activities, participation in EAGL meetings relating to the general operation of EAGL</w:t>
      </w:r>
      <w:r w:rsidR="48FA579A" w:rsidRPr="71E15AB4">
        <w:rPr>
          <w:rFonts w:ascii="Arial" w:hAnsi="Arial" w:cs="Arial"/>
        </w:rPr>
        <w:t>s</w:t>
      </w:r>
      <w:r w:rsidRPr="71E15AB4">
        <w:rPr>
          <w:rFonts w:ascii="Arial" w:hAnsi="Arial" w:cs="Arial"/>
        </w:rPr>
        <w:t xml:space="preserve"> in Italy and Spain, including the development or internal operational procedures and support</w:t>
      </w:r>
    </w:p>
    <w:p w14:paraId="0D84BB46" w14:textId="72B4E47B" w:rsidR="00091C51" w:rsidRDefault="004F14CB" w:rsidP="006322E6">
      <w:pPr>
        <w:pStyle w:val="ListParagraph"/>
        <w:numPr>
          <w:ilvl w:val="0"/>
          <w:numId w:val="8"/>
        </w:numPr>
        <w:spacing w:line="240" w:lineRule="auto"/>
        <w:rPr>
          <w:rFonts w:ascii="Arial" w:hAnsi="Arial" w:cs="Arial"/>
        </w:rPr>
      </w:pPr>
      <w:r w:rsidRPr="006322E6">
        <w:rPr>
          <w:rFonts w:ascii="Arial" w:hAnsi="Arial" w:cs="Arial"/>
        </w:rPr>
        <w:t>Renewal process of the Spanish EAGL, including revision of candidate EAGL members, initial training of the new EAGL</w:t>
      </w:r>
    </w:p>
    <w:p w14:paraId="1DFC1A59" w14:textId="4DCD81E2" w:rsidR="001249AD" w:rsidRPr="0002722D" w:rsidRDefault="001249AD" w:rsidP="001249AD">
      <w:pPr>
        <w:pStyle w:val="ListParagraph"/>
        <w:numPr>
          <w:ilvl w:val="0"/>
          <w:numId w:val="8"/>
        </w:numPr>
        <w:spacing w:line="240" w:lineRule="auto"/>
        <w:rPr>
          <w:rFonts w:ascii="Arial" w:hAnsi="Arial" w:cs="Arial"/>
        </w:rPr>
      </w:pPr>
      <w:r w:rsidRPr="001A13C7">
        <w:rPr>
          <w:rFonts w:ascii="Arial" w:hAnsi="Arial" w:cs="Arial"/>
        </w:rPr>
        <w:t>Verify that any adaptation process for Generic Indicators within a jurisdiction is in accordance with IUCN policies, standards, directives, guidelines and advice notes, and harmonised with other similar standards, based on EAGL notes and records”</w:t>
      </w:r>
    </w:p>
    <w:p w14:paraId="22011255" w14:textId="0AC586AA" w:rsidR="001249AD" w:rsidRPr="0002722D" w:rsidRDefault="001249AD" w:rsidP="00351EE0">
      <w:pPr>
        <w:spacing w:line="240" w:lineRule="auto"/>
        <w:ind w:left="360" w:firstLine="720"/>
        <w:rPr>
          <w:rFonts w:ascii="Arial" w:hAnsi="Arial" w:cs="Arial"/>
          <w:i/>
          <w:iCs/>
        </w:rPr>
      </w:pPr>
      <w:r w:rsidRPr="0002722D">
        <w:rPr>
          <w:rFonts w:ascii="Arial" w:hAnsi="Arial" w:cs="Arial"/>
          <w:i/>
          <w:iCs/>
        </w:rPr>
        <w:t>As needed:</w:t>
      </w:r>
    </w:p>
    <w:p w14:paraId="04861302" w14:textId="0A0A65CA" w:rsidR="00091C51" w:rsidRDefault="004F14CB" w:rsidP="006322E6">
      <w:pPr>
        <w:pStyle w:val="ListParagraph"/>
        <w:numPr>
          <w:ilvl w:val="0"/>
          <w:numId w:val="8"/>
        </w:numPr>
        <w:spacing w:line="240" w:lineRule="auto"/>
        <w:rPr>
          <w:rFonts w:ascii="Arial" w:hAnsi="Arial" w:cs="Arial"/>
        </w:rPr>
      </w:pPr>
      <w:r w:rsidRPr="006322E6">
        <w:rPr>
          <w:rFonts w:ascii="Arial" w:hAnsi="Arial" w:cs="Arial"/>
        </w:rPr>
        <w:lastRenderedPageBreak/>
        <w:t>Participation at EAGL in-person or online meetings (decision making on new PAs to join the Green List)</w:t>
      </w:r>
    </w:p>
    <w:p w14:paraId="23151BD9" w14:textId="381497F8" w:rsidR="00091C51" w:rsidRDefault="004F14CB" w:rsidP="006322E6">
      <w:pPr>
        <w:pStyle w:val="ListParagraph"/>
        <w:numPr>
          <w:ilvl w:val="0"/>
          <w:numId w:val="8"/>
        </w:numPr>
        <w:spacing w:line="240" w:lineRule="auto"/>
        <w:rPr>
          <w:rFonts w:ascii="Arial" w:hAnsi="Arial" w:cs="Arial"/>
        </w:rPr>
      </w:pPr>
      <w:r w:rsidRPr="71E15AB4">
        <w:rPr>
          <w:rFonts w:ascii="Arial" w:hAnsi="Arial" w:cs="Arial"/>
        </w:rPr>
        <w:t xml:space="preserve">Participation at field visits relating to the evaluation of applicant PAs  </w:t>
      </w:r>
    </w:p>
    <w:p w14:paraId="3CBD66E6" w14:textId="167E6F13" w:rsidR="004F14CB" w:rsidRDefault="004F14CB" w:rsidP="006322E6">
      <w:pPr>
        <w:pStyle w:val="ListParagraph"/>
        <w:numPr>
          <w:ilvl w:val="0"/>
          <w:numId w:val="8"/>
        </w:numPr>
        <w:spacing w:line="240" w:lineRule="auto"/>
        <w:rPr>
          <w:rFonts w:ascii="Arial" w:hAnsi="Arial" w:cs="Arial"/>
        </w:rPr>
      </w:pPr>
      <w:r w:rsidRPr="006322E6">
        <w:rPr>
          <w:rFonts w:ascii="Arial" w:hAnsi="Arial" w:cs="Arial"/>
        </w:rPr>
        <w:t xml:space="preserve">Participation at promotional events and meetings relating to the Green List </w:t>
      </w:r>
    </w:p>
    <w:p w14:paraId="3F8F60EE" w14:textId="2F98162B" w:rsidR="009803C7" w:rsidRDefault="001249AD" w:rsidP="009803C7">
      <w:pPr>
        <w:pStyle w:val="ListParagraph"/>
        <w:numPr>
          <w:ilvl w:val="0"/>
          <w:numId w:val="8"/>
        </w:numPr>
        <w:spacing w:line="240" w:lineRule="auto"/>
        <w:rPr>
          <w:rFonts w:ascii="Arial" w:hAnsi="Arial" w:cs="Arial"/>
        </w:rPr>
      </w:pPr>
      <w:r>
        <w:rPr>
          <w:rFonts w:ascii="Arial" w:hAnsi="Arial" w:cs="Arial"/>
        </w:rPr>
        <w:t>R</w:t>
      </w:r>
      <w:r w:rsidR="009803C7" w:rsidRPr="00EE61D4">
        <w:rPr>
          <w:rFonts w:ascii="Arial" w:hAnsi="Arial" w:cs="Arial"/>
        </w:rPr>
        <w:t xml:space="preserve">eview the proposed membership of </w:t>
      </w:r>
      <w:r w:rsidR="009803C7">
        <w:rPr>
          <w:rFonts w:ascii="Arial" w:hAnsi="Arial" w:cs="Arial"/>
        </w:rPr>
        <w:t>new EAGLs in the area</w:t>
      </w:r>
      <w:r w:rsidR="009803C7" w:rsidRPr="00EE61D4">
        <w:rPr>
          <w:rFonts w:ascii="Arial" w:hAnsi="Arial" w:cs="Arial"/>
        </w:rPr>
        <w:t xml:space="preserve"> for required competence, independence</w:t>
      </w:r>
      <w:r w:rsidR="009803C7">
        <w:rPr>
          <w:rFonts w:ascii="Arial" w:hAnsi="Arial" w:cs="Arial"/>
        </w:rPr>
        <w:t xml:space="preserve">, </w:t>
      </w:r>
      <w:r w:rsidR="009803C7" w:rsidRPr="00EE61D4">
        <w:rPr>
          <w:rFonts w:ascii="Arial" w:hAnsi="Arial" w:cs="Arial"/>
        </w:rPr>
        <w:t>commitment</w:t>
      </w:r>
      <w:r w:rsidR="009803C7">
        <w:rPr>
          <w:rFonts w:ascii="Arial" w:hAnsi="Arial" w:cs="Arial"/>
        </w:rPr>
        <w:t xml:space="preserve"> and representativeness</w:t>
      </w:r>
      <w:r w:rsidR="009803C7" w:rsidRPr="00EE61D4">
        <w:rPr>
          <w:rFonts w:ascii="Arial" w:hAnsi="Arial" w:cs="Arial"/>
        </w:rPr>
        <w:t>, and discuss the EAGL composition with the relevant WCPA Regional Vice Chair as needed</w:t>
      </w:r>
      <w:r w:rsidR="009803C7">
        <w:rPr>
          <w:rFonts w:ascii="Arial" w:hAnsi="Arial" w:cs="Arial"/>
        </w:rPr>
        <w:t xml:space="preserve"> </w:t>
      </w:r>
    </w:p>
    <w:p w14:paraId="7A865E4D" w14:textId="019CF947" w:rsidR="009803C7" w:rsidRDefault="001249AD" w:rsidP="009803C7">
      <w:pPr>
        <w:pStyle w:val="ListParagraph"/>
        <w:numPr>
          <w:ilvl w:val="0"/>
          <w:numId w:val="8"/>
        </w:numPr>
        <w:spacing w:line="240" w:lineRule="auto"/>
        <w:rPr>
          <w:rFonts w:ascii="Arial" w:hAnsi="Arial" w:cs="Arial"/>
        </w:rPr>
      </w:pPr>
      <w:r>
        <w:rPr>
          <w:rFonts w:ascii="Arial" w:hAnsi="Arial" w:cs="Arial"/>
        </w:rPr>
        <w:t>A</w:t>
      </w:r>
      <w:r w:rsidR="009803C7" w:rsidRPr="00A37693">
        <w:rPr>
          <w:rFonts w:ascii="Arial" w:hAnsi="Arial" w:cs="Arial"/>
        </w:rPr>
        <w:t xml:space="preserve">pprove the proposed membership of </w:t>
      </w:r>
      <w:r w:rsidR="00691C28">
        <w:rPr>
          <w:rFonts w:ascii="Arial" w:hAnsi="Arial" w:cs="Arial"/>
        </w:rPr>
        <w:t>new</w:t>
      </w:r>
      <w:r w:rsidR="009803C7" w:rsidRPr="00A37693">
        <w:rPr>
          <w:rFonts w:ascii="Arial" w:hAnsi="Arial" w:cs="Arial"/>
        </w:rPr>
        <w:t xml:space="preserve"> EAGL</w:t>
      </w:r>
      <w:r w:rsidR="00691C28">
        <w:rPr>
          <w:rFonts w:ascii="Arial" w:hAnsi="Arial" w:cs="Arial"/>
        </w:rPr>
        <w:t>s</w:t>
      </w:r>
      <w:r w:rsidR="009803C7" w:rsidRPr="00A37693">
        <w:rPr>
          <w:rFonts w:ascii="Arial" w:hAnsi="Arial" w:cs="Arial"/>
        </w:rPr>
        <w:t>, ensuring it has the required competence, independence and commitmen</w:t>
      </w:r>
      <w:r w:rsidR="009803C7">
        <w:rPr>
          <w:rFonts w:ascii="Arial" w:hAnsi="Arial" w:cs="Arial"/>
        </w:rPr>
        <w:t>t</w:t>
      </w:r>
    </w:p>
    <w:p w14:paraId="0D91FF9F" w14:textId="7B6E9373" w:rsidR="00A6254F" w:rsidRDefault="001249AD" w:rsidP="00351EE0">
      <w:pPr>
        <w:pStyle w:val="ListParagraph"/>
        <w:numPr>
          <w:ilvl w:val="0"/>
          <w:numId w:val="8"/>
        </w:numPr>
        <w:spacing w:line="240" w:lineRule="auto"/>
      </w:pPr>
      <w:r>
        <w:rPr>
          <w:rFonts w:ascii="Arial" w:hAnsi="Arial" w:cs="Arial"/>
        </w:rPr>
        <w:t>D</w:t>
      </w:r>
      <w:r w:rsidR="009803C7">
        <w:rPr>
          <w:rFonts w:ascii="Arial" w:hAnsi="Arial" w:cs="Arial"/>
        </w:rPr>
        <w:t xml:space="preserve">eliver an initial training for new </w:t>
      </w:r>
      <w:r w:rsidR="009803C7" w:rsidRPr="011CE4E3">
        <w:rPr>
          <w:rFonts w:ascii="Arial" w:hAnsi="Arial" w:cs="Arial"/>
        </w:rPr>
        <w:t>EAGL</w:t>
      </w:r>
      <w:r w:rsidR="5B8426EC" w:rsidRPr="011CE4E3">
        <w:rPr>
          <w:rFonts w:ascii="Arial" w:hAnsi="Arial" w:cs="Arial"/>
        </w:rPr>
        <w:t xml:space="preserve"> member</w:t>
      </w:r>
      <w:r w:rsidR="00691C28" w:rsidRPr="011CE4E3">
        <w:rPr>
          <w:rFonts w:ascii="Arial" w:hAnsi="Arial" w:cs="Arial"/>
        </w:rPr>
        <w:t>s</w:t>
      </w:r>
    </w:p>
    <w:p w14:paraId="08F18EF4" w14:textId="583677E5" w:rsidR="00857665" w:rsidRPr="00857665" w:rsidRDefault="00DD1D20" w:rsidP="00857665">
      <w:pPr>
        <w:spacing w:line="240" w:lineRule="auto"/>
        <w:rPr>
          <w:rFonts w:ascii="Arial" w:hAnsi="Arial" w:cs="Arial"/>
          <w:b/>
        </w:rPr>
      </w:pPr>
      <w:r w:rsidRPr="00857665">
        <w:rPr>
          <w:rFonts w:ascii="Arial" w:hAnsi="Arial" w:cs="Arial"/>
          <w:b/>
        </w:rPr>
        <w:t xml:space="preserve">Duration of the </w:t>
      </w:r>
      <w:r w:rsidR="00903243">
        <w:rPr>
          <w:rFonts w:ascii="Arial" w:hAnsi="Arial" w:cs="Arial"/>
          <w:b/>
        </w:rPr>
        <w:t>A</w:t>
      </w:r>
      <w:r w:rsidRPr="00857665">
        <w:rPr>
          <w:rFonts w:ascii="Arial" w:hAnsi="Arial" w:cs="Arial"/>
          <w:b/>
        </w:rPr>
        <w:t>ssignment</w:t>
      </w:r>
    </w:p>
    <w:p w14:paraId="1460057B" w14:textId="63D3C60A" w:rsidR="00A121B7" w:rsidRDefault="00857665" w:rsidP="006A7A34">
      <w:pPr>
        <w:spacing w:line="240" w:lineRule="auto"/>
        <w:rPr>
          <w:rFonts w:ascii="Arial" w:hAnsi="Arial" w:cs="Arial"/>
        </w:rPr>
      </w:pPr>
      <w:r w:rsidRPr="71E15AB4">
        <w:rPr>
          <w:rFonts w:ascii="Arial" w:hAnsi="Arial" w:cs="Arial"/>
        </w:rPr>
        <w:t>F</w:t>
      </w:r>
      <w:r w:rsidR="00DD1D20" w:rsidRPr="71E15AB4">
        <w:rPr>
          <w:rFonts w:ascii="Arial" w:hAnsi="Arial" w:cs="Arial"/>
        </w:rPr>
        <w:t xml:space="preserve">rom </w:t>
      </w:r>
      <w:r w:rsidR="00A121B7" w:rsidRPr="71E15AB4">
        <w:rPr>
          <w:rFonts w:ascii="Arial" w:hAnsi="Arial" w:cs="Arial"/>
        </w:rPr>
        <w:t>01/1</w:t>
      </w:r>
      <w:r w:rsidR="41F8840B" w:rsidRPr="4F36D01B">
        <w:rPr>
          <w:rFonts w:ascii="Arial" w:hAnsi="Arial" w:cs="Arial"/>
        </w:rPr>
        <w:t>2</w:t>
      </w:r>
      <w:r w:rsidR="00A121B7" w:rsidRPr="71E15AB4">
        <w:rPr>
          <w:rFonts w:ascii="Arial" w:hAnsi="Arial" w:cs="Arial"/>
        </w:rPr>
        <w:t xml:space="preserve">/2024 to </w:t>
      </w:r>
      <w:r w:rsidR="00AB4E87" w:rsidRPr="00AB4E87">
        <w:rPr>
          <w:rFonts w:ascii="Arial" w:hAnsi="Arial" w:cs="Arial"/>
        </w:rPr>
        <w:t>3</w:t>
      </w:r>
      <w:r w:rsidR="00185064">
        <w:rPr>
          <w:rFonts w:ascii="Arial" w:hAnsi="Arial" w:cs="Arial"/>
        </w:rPr>
        <w:t>0</w:t>
      </w:r>
      <w:r w:rsidR="00A121B7" w:rsidRPr="00AB4E87">
        <w:rPr>
          <w:rFonts w:ascii="Arial" w:hAnsi="Arial" w:cs="Arial"/>
        </w:rPr>
        <w:t>/</w:t>
      </w:r>
      <w:r w:rsidR="00AB4E87" w:rsidRPr="00AB4E87">
        <w:rPr>
          <w:rFonts w:ascii="Arial" w:hAnsi="Arial" w:cs="Arial"/>
        </w:rPr>
        <w:t>0</w:t>
      </w:r>
      <w:r w:rsidR="00185064">
        <w:rPr>
          <w:rFonts w:ascii="Arial" w:hAnsi="Arial" w:cs="Arial"/>
        </w:rPr>
        <w:t>9</w:t>
      </w:r>
      <w:r w:rsidR="00A121B7" w:rsidRPr="00AB4E87">
        <w:rPr>
          <w:rFonts w:ascii="Arial" w:hAnsi="Arial" w:cs="Arial"/>
        </w:rPr>
        <w:t>/20</w:t>
      </w:r>
      <w:r w:rsidR="00AB4E87" w:rsidRPr="00AB4E87">
        <w:rPr>
          <w:rFonts w:ascii="Arial" w:hAnsi="Arial" w:cs="Arial"/>
        </w:rPr>
        <w:t>25</w:t>
      </w:r>
    </w:p>
    <w:p w14:paraId="7903451F" w14:textId="0406DC59" w:rsidR="4F36D01B" w:rsidRDefault="4F36D01B" w:rsidP="4F36D01B">
      <w:pPr>
        <w:spacing w:line="240" w:lineRule="auto"/>
        <w:rPr>
          <w:rFonts w:ascii="Arial" w:hAnsi="Arial" w:cs="Arial"/>
          <w:b/>
          <w:bCs/>
        </w:rPr>
      </w:pPr>
    </w:p>
    <w:p w14:paraId="526EE0A3" w14:textId="5780E4AC" w:rsidR="005330F5" w:rsidRPr="004E05C4" w:rsidRDefault="71320CAD" w:rsidP="006A7A34">
      <w:pPr>
        <w:spacing w:line="240" w:lineRule="auto"/>
        <w:rPr>
          <w:rFonts w:ascii="Arial" w:eastAsia="Arial" w:hAnsi="Arial" w:cs="Arial"/>
        </w:rPr>
      </w:pPr>
      <w:r w:rsidRPr="00DB7FCA">
        <w:rPr>
          <w:rFonts w:ascii="Arial" w:eastAsia="Arial" w:hAnsi="Arial" w:cs="Arial"/>
          <w:b/>
          <w:bCs/>
        </w:rPr>
        <w:t>Activities, Workload and Timeline</w:t>
      </w:r>
    </w:p>
    <w:p w14:paraId="4E1A44F3" w14:textId="57E1D3BF" w:rsidR="00A12269" w:rsidRDefault="00A12269" w:rsidP="005330F5">
      <w:pPr>
        <w:spacing w:line="240" w:lineRule="auto"/>
        <w:jc w:val="both"/>
        <w:rPr>
          <w:rFonts w:ascii="Arial" w:hAnsi="Arial" w:cs="Arial"/>
        </w:rPr>
      </w:pPr>
      <w:r w:rsidRPr="00A12269">
        <w:rPr>
          <w:rFonts w:ascii="Arial" w:hAnsi="Arial" w:cs="Arial"/>
        </w:rPr>
        <w:t>The consultant will provide the following deliverables and carry out the following activities:</w:t>
      </w:r>
    </w:p>
    <w:tbl>
      <w:tblPr>
        <w:tblStyle w:val="TableGrid"/>
        <w:tblW w:w="8642" w:type="dxa"/>
        <w:tblLook w:val="04A0" w:firstRow="1" w:lastRow="0" w:firstColumn="1" w:lastColumn="0" w:noHBand="0" w:noVBand="1"/>
      </w:tblPr>
      <w:tblGrid>
        <w:gridCol w:w="4106"/>
        <w:gridCol w:w="2010"/>
        <w:gridCol w:w="2526"/>
      </w:tblGrid>
      <w:tr w:rsidR="0082309A" w:rsidRPr="00092B12" w14:paraId="5C785521" w14:textId="77777777" w:rsidTr="006A7A34">
        <w:trPr>
          <w:trHeight w:val="300"/>
        </w:trPr>
        <w:tc>
          <w:tcPr>
            <w:tcW w:w="4106" w:type="dxa"/>
            <w:shd w:val="clear" w:color="auto" w:fill="BFBFBF" w:themeFill="background1" w:themeFillShade="BF"/>
          </w:tcPr>
          <w:p w14:paraId="1D4175D9" w14:textId="77777777" w:rsidR="0082309A" w:rsidRPr="00092B12" w:rsidRDefault="0082309A" w:rsidP="0052058E">
            <w:pPr>
              <w:jc w:val="both"/>
              <w:rPr>
                <w:rFonts w:ascii="Arial" w:hAnsi="Arial" w:cs="Arial"/>
                <w:b/>
              </w:rPr>
            </w:pPr>
            <w:r>
              <w:rPr>
                <w:rFonts w:ascii="Arial" w:hAnsi="Arial" w:cs="Arial"/>
                <w:b/>
              </w:rPr>
              <w:t>Deliverable/Activity</w:t>
            </w:r>
          </w:p>
        </w:tc>
        <w:tc>
          <w:tcPr>
            <w:tcW w:w="2010" w:type="dxa"/>
            <w:shd w:val="clear" w:color="auto" w:fill="BFBFBF" w:themeFill="background1" w:themeFillShade="BF"/>
          </w:tcPr>
          <w:p w14:paraId="47C9DB4D" w14:textId="209D867E" w:rsidR="0082309A" w:rsidRDefault="61510D0E" w:rsidP="0052058E">
            <w:pPr>
              <w:jc w:val="both"/>
              <w:rPr>
                <w:rFonts w:ascii="Arial" w:hAnsi="Arial" w:cs="Arial"/>
                <w:b/>
              </w:rPr>
            </w:pPr>
            <w:r w:rsidRPr="4F36D01B">
              <w:rPr>
                <w:rFonts w:ascii="Arial" w:hAnsi="Arial" w:cs="Arial"/>
                <w:b/>
                <w:bCs/>
              </w:rPr>
              <w:t xml:space="preserve">Estimated </w:t>
            </w:r>
            <w:r w:rsidR="52CA1D2C" w:rsidRPr="4F36D01B">
              <w:rPr>
                <w:rFonts w:ascii="Arial" w:hAnsi="Arial" w:cs="Arial"/>
                <w:b/>
                <w:bCs/>
              </w:rPr>
              <w:t>workload</w:t>
            </w:r>
          </w:p>
        </w:tc>
        <w:tc>
          <w:tcPr>
            <w:tcW w:w="2526" w:type="dxa"/>
            <w:shd w:val="clear" w:color="auto" w:fill="BFBFBF" w:themeFill="background1" w:themeFillShade="BF"/>
          </w:tcPr>
          <w:p w14:paraId="25EEFD4E" w14:textId="77777777" w:rsidR="0082309A" w:rsidRDefault="0082309A" w:rsidP="0052058E">
            <w:pPr>
              <w:jc w:val="both"/>
              <w:rPr>
                <w:rFonts w:ascii="Arial" w:hAnsi="Arial" w:cs="Arial"/>
                <w:b/>
              </w:rPr>
            </w:pPr>
            <w:r>
              <w:rPr>
                <w:rFonts w:ascii="Arial" w:hAnsi="Arial" w:cs="Arial"/>
                <w:b/>
              </w:rPr>
              <w:t>Timeframe</w:t>
            </w:r>
          </w:p>
        </w:tc>
      </w:tr>
      <w:tr w:rsidR="0082309A" w14:paraId="31ED70C7" w14:textId="77777777" w:rsidTr="006A7A34">
        <w:trPr>
          <w:trHeight w:val="300"/>
        </w:trPr>
        <w:tc>
          <w:tcPr>
            <w:tcW w:w="4106" w:type="dxa"/>
          </w:tcPr>
          <w:p w14:paraId="2C336FAE" w14:textId="12FD4777" w:rsidR="0082309A" w:rsidRPr="008F6C7A" w:rsidRDefault="0082309A" w:rsidP="0002722D">
            <w:pPr>
              <w:jc w:val="both"/>
              <w:rPr>
                <w:rFonts w:ascii="Arial" w:hAnsi="Arial" w:cs="Arial"/>
              </w:rPr>
            </w:pPr>
            <w:r w:rsidRPr="008F6C7A">
              <w:rPr>
                <w:rFonts w:ascii="Arial" w:hAnsi="Arial" w:cs="Arial"/>
              </w:rPr>
              <w:t xml:space="preserve">1.General </w:t>
            </w:r>
            <w:r w:rsidR="00B85A15">
              <w:rPr>
                <w:rFonts w:ascii="Arial" w:hAnsi="Arial" w:cs="Arial"/>
              </w:rPr>
              <w:t>Activities</w:t>
            </w:r>
          </w:p>
        </w:tc>
        <w:tc>
          <w:tcPr>
            <w:tcW w:w="2010" w:type="dxa"/>
          </w:tcPr>
          <w:p w14:paraId="3BC4BAC5" w14:textId="3EFF49C1" w:rsidR="0082309A" w:rsidRPr="00844C8E" w:rsidRDefault="0082309A" w:rsidP="009A1DBD">
            <w:pPr>
              <w:jc w:val="both"/>
              <w:rPr>
                <w:rFonts w:ascii="Arial" w:hAnsi="Arial" w:cs="Arial"/>
              </w:rPr>
            </w:pPr>
            <w:r>
              <w:rPr>
                <w:rFonts w:ascii="Arial" w:hAnsi="Arial" w:cs="Arial"/>
              </w:rPr>
              <w:t>1 day</w:t>
            </w:r>
          </w:p>
        </w:tc>
        <w:tc>
          <w:tcPr>
            <w:tcW w:w="2526" w:type="dxa"/>
          </w:tcPr>
          <w:p w14:paraId="053DE100" w14:textId="3C565EFC" w:rsidR="0082309A" w:rsidRPr="00844C8E" w:rsidRDefault="00C72926" w:rsidP="009A1DBD">
            <w:pPr>
              <w:jc w:val="both"/>
              <w:rPr>
                <w:rFonts w:ascii="Arial" w:hAnsi="Arial" w:cs="Arial"/>
              </w:rPr>
            </w:pPr>
            <w:r>
              <w:rPr>
                <w:rFonts w:ascii="Arial" w:hAnsi="Arial" w:cs="Arial"/>
              </w:rPr>
              <w:t>December</w:t>
            </w:r>
            <w:r w:rsidRPr="00844C8E">
              <w:rPr>
                <w:rFonts w:ascii="Arial" w:hAnsi="Arial" w:cs="Arial"/>
              </w:rPr>
              <w:t xml:space="preserve"> </w:t>
            </w:r>
            <w:r w:rsidR="0082309A" w:rsidRPr="00844C8E">
              <w:rPr>
                <w:rFonts w:ascii="Arial" w:hAnsi="Arial" w:cs="Arial"/>
              </w:rPr>
              <w:t xml:space="preserve">2024 – </w:t>
            </w:r>
            <w:r>
              <w:rPr>
                <w:rFonts w:ascii="Arial" w:hAnsi="Arial" w:cs="Arial"/>
              </w:rPr>
              <w:t>September</w:t>
            </w:r>
            <w:r w:rsidRPr="00844C8E">
              <w:rPr>
                <w:rFonts w:ascii="Arial" w:hAnsi="Arial" w:cs="Arial"/>
              </w:rPr>
              <w:t xml:space="preserve"> </w:t>
            </w:r>
            <w:r w:rsidR="0082309A" w:rsidRPr="00844C8E">
              <w:rPr>
                <w:rFonts w:ascii="Arial" w:hAnsi="Arial" w:cs="Arial"/>
              </w:rPr>
              <w:t>2025</w:t>
            </w:r>
          </w:p>
        </w:tc>
      </w:tr>
      <w:tr w:rsidR="0082309A" w14:paraId="7EDD6BBD" w14:textId="77777777" w:rsidTr="006A7A34">
        <w:trPr>
          <w:trHeight w:val="300"/>
        </w:trPr>
        <w:tc>
          <w:tcPr>
            <w:tcW w:w="4106" w:type="dxa"/>
          </w:tcPr>
          <w:p w14:paraId="1D860C8E" w14:textId="3947D089" w:rsidR="0082309A" w:rsidRPr="008F6C7A" w:rsidRDefault="0082309A" w:rsidP="0002722D">
            <w:pPr>
              <w:jc w:val="both"/>
              <w:rPr>
                <w:rFonts w:ascii="Arial" w:hAnsi="Arial" w:cs="Arial"/>
              </w:rPr>
            </w:pPr>
            <w:r w:rsidRPr="008F6C7A">
              <w:rPr>
                <w:rFonts w:ascii="Arial" w:hAnsi="Arial" w:cs="Arial"/>
              </w:rPr>
              <w:t xml:space="preserve">2. EAGL </w:t>
            </w:r>
            <w:r w:rsidR="70A0EA77" w:rsidRPr="4F36D01B">
              <w:rPr>
                <w:rFonts w:ascii="Arial" w:hAnsi="Arial" w:cs="Arial"/>
              </w:rPr>
              <w:t>operation</w:t>
            </w:r>
            <w:r w:rsidR="454AD18C" w:rsidRPr="4F36D01B">
              <w:rPr>
                <w:rFonts w:ascii="Arial" w:hAnsi="Arial" w:cs="Arial"/>
              </w:rPr>
              <w:t>s</w:t>
            </w:r>
          </w:p>
        </w:tc>
        <w:tc>
          <w:tcPr>
            <w:tcW w:w="2010" w:type="dxa"/>
          </w:tcPr>
          <w:p w14:paraId="1E232BB0" w14:textId="6F15ACD0" w:rsidR="0082309A" w:rsidRDefault="045FD051" w:rsidP="00055414">
            <w:pPr>
              <w:jc w:val="both"/>
              <w:rPr>
                <w:rFonts w:ascii="Arial" w:hAnsi="Arial" w:cs="Arial"/>
              </w:rPr>
            </w:pPr>
            <w:r w:rsidRPr="239BFE4D">
              <w:rPr>
                <w:rFonts w:ascii="Arial" w:hAnsi="Arial" w:cs="Arial"/>
              </w:rPr>
              <w:t>6</w:t>
            </w:r>
            <w:r w:rsidR="0082309A" w:rsidRPr="002139ED">
              <w:rPr>
                <w:rFonts w:ascii="Arial" w:hAnsi="Arial" w:cs="Arial"/>
              </w:rPr>
              <w:t xml:space="preserve"> days</w:t>
            </w:r>
          </w:p>
        </w:tc>
        <w:tc>
          <w:tcPr>
            <w:tcW w:w="2526" w:type="dxa"/>
          </w:tcPr>
          <w:p w14:paraId="464FCFA3" w14:textId="554D94B9" w:rsidR="0082309A" w:rsidRDefault="00C72926" w:rsidP="00055414">
            <w:pPr>
              <w:jc w:val="both"/>
              <w:rPr>
                <w:rFonts w:ascii="Arial" w:hAnsi="Arial" w:cs="Arial"/>
              </w:rPr>
            </w:pPr>
            <w:r>
              <w:rPr>
                <w:rFonts w:ascii="Arial" w:hAnsi="Arial" w:cs="Arial"/>
              </w:rPr>
              <w:t>December</w:t>
            </w:r>
            <w:r w:rsidR="0082309A" w:rsidRPr="00445B5B">
              <w:rPr>
                <w:rFonts w:ascii="Arial" w:hAnsi="Arial" w:cs="Arial"/>
              </w:rPr>
              <w:t xml:space="preserve"> 2024 – </w:t>
            </w:r>
            <w:r>
              <w:rPr>
                <w:rFonts w:ascii="Arial" w:hAnsi="Arial" w:cs="Arial"/>
              </w:rPr>
              <w:t>September</w:t>
            </w:r>
            <w:r w:rsidR="0082309A" w:rsidRPr="00445B5B">
              <w:rPr>
                <w:rFonts w:ascii="Arial" w:hAnsi="Arial" w:cs="Arial"/>
              </w:rPr>
              <w:t xml:space="preserve"> 2026</w:t>
            </w:r>
          </w:p>
        </w:tc>
      </w:tr>
    </w:tbl>
    <w:p w14:paraId="27C04C91" w14:textId="10CD121C" w:rsidR="009815F0" w:rsidRPr="00F14818" w:rsidRDefault="009815F0" w:rsidP="00F14818">
      <w:pPr>
        <w:spacing w:line="240" w:lineRule="auto"/>
        <w:rPr>
          <w:rFonts w:ascii="Arial" w:hAnsi="Arial" w:cs="Arial"/>
          <w:bCs/>
        </w:rPr>
      </w:pPr>
    </w:p>
    <w:p w14:paraId="40D0B9CA" w14:textId="2D694FBD" w:rsidR="009815F0" w:rsidRPr="001032CA" w:rsidRDefault="750EE17D" w:rsidP="009815F0">
      <w:pPr>
        <w:spacing w:line="240" w:lineRule="auto"/>
        <w:rPr>
          <w:rFonts w:ascii="Arial" w:hAnsi="Arial" w:cs="Arial"/>
          <w:b/>
        </w:rPr>
      </w:pPr>
      <w:r w:rsidRPr="011CE4E3">
        <w:rPr>
          <w:rFonts w:ascii="Arial" w:hAnsi="Arial" w:cs="Arial"/>
          <w:b/>
          <w:bCs/>
        </w:rPr>
        <w:t xml:space="preserve"> </w:t>
      </w:r>
      <w:r w:rsidR="330F8BF4" w:rsidRPr="4F36D01B">
        <w:rPr>
          <w:rFonts w:ascii="Arial" w:hAnsi="Arial" w:cs="Arial"/>
          <w:b/>
          <w:bCs/>
        </w:rPr>
        <w:t xml:space="preserve">Deliverables </w:t>
      </w:r>
      <w:r w:rsidRPr="011CE4E3">
        <w:rPr>
          <w:rFonts w:ascii="Arial" w:hAnsi="Arial" w:cs="Arial"/>
          <w:b/>
          <w:bCs/>
        </w:rPr>
        <w:t xml:space="preserve">and </w:t>
      </w:r>
      <w:r w:rsidR="009815F0">
        <w:rPr>
          <w:rFonts w:ascii="Arial" w:hAnsi="Arial" w:cs="Arial"/>
          <w:b/>
        </w:rPr>
        <w:t>Payment Schedule</w:t>
      </w:r>
    </w:p>
    <w:p w14:paraId="22744816" w14:textId="21DF061F" w:rsidR="009815F0" w:rsidRDefault="009815F0" w:rsidP="002518CF">
      <w:pPr>
        <w:spacing w:line="240" w:lineRule="auto"/>
        <w:jc w:val="both"/>
        <w:rPr>
          <w:rFonts w:ascii="Arial" w:hAnsi="Arial" w:cs="Arial"/>
        </w:rPr>
      </w:pPr>
      <w:r>
        <w:rPr>
          <w:rFonts w:ascii="Arial" w:hAnsi="Arial" w:cs="Arial"/>
        </w:rPr>
        <w:t>The Timetable below summarises the chronological order of deliverables</w:t>
      </w:r>
      <w:r w:rsidR="00970407">
        <w:rPr>
          <w:rFonts w:ascii="Arial" w:hAnsi="Arial" w:cs="Arial"/>
        </w:rPr>
        <w:t>. IUCN will pay the consultant a single lump-sum payment once the deliverables have been completed</w:t>
      </w:r>
      <w:r>
        <w:rPr>
          <w:rFonts w:ascii="Arial" w:hAnsi="Arial" w:cs="Arial"/>
        </w:rPr>
        <w:t>.</w:t>
      </w:r>
    </w:p>
    <w:tbl>
      <w:tblPr>
        <w:tblStyle w:val="TableGrid"/>
        <w:tblW w:w="9066" w:type="dxa"/>
        <w:tblLook w:val="04A0" w:firstRow="1" w:lastRow="0" w:firstColumn="1" w:lastColumn="0" w:noHBand="0" w:noVBand="1"/>
      </w:tblPr>
      <w:tblGrid>
        <w:gridCol w:w="3643"/>
        <w:gridCol w:w="3643"/>
        <w:gridCol w:w="1780"/>
      </w:tblGrid>
      <w:tr w:rsidR="009815F0" w:rsidRPr="00092B12" w14:paraId="64EFA7DD" w14:textId="77777777" w:rsidTr="4F36D01B">
        <w:trPr>
          <w:trHeight w:val="300"/>
        </w:trPr>
        <w:tc>
          <w:tcPr>
            <w:tcW w:w="3643" w:type="dxa"/>
            <w:shd w:val="clear" w:color="auto" w:fill="BFBFBF" w:themeFill="background1" w:themeFillShade="BF"/>
          </w:tcPr>
          <w:p w14:paraId="61FE3554" w14:textId="77777777" w:rsidR="009815F0" w:rsidRPr="00092B12" w:rsidRDefault="009815F0" w:rsidP="0052058E">
            <w:pPr>
              <w:jc w:val="both"/>
              <w:rPr>
                <w:rFonts w:ascii="Arial" w:hAnsi="Arial" w:cs="Arial"/>
                <w:b/>
              </w:rPr>
            </w:pPr>
            <w:r>
              <w:rPr>
                <w:rFonts w:ascii="Arial" w:hAnsi="Arial" w:cs="Arial"/>
                <w:b/>
              </w:rPr>
              <w:t>Deliverable</w:t>
            </w:r>
          </w:p>
        </w:tc>
        <w:tc>
          <w:tcPr>
            <w:tcW w:w="3643" w:type="dxa"/>
            <w:shd w:val="clear" w:color="auto" w:fill="BFBFBF" w:themeFill="background1" w:themeFillShade="BF"/>
          </w:tcPr>
          <w:p w14:paraId="1193F1D0" w14:textId="2A1D5FF8" w:rsidR="3919568F" w:rsidRPr="4F36D01B" w:rsidRDefault="3919568F" w:rsidP="4F36D01B">
            <w:pPr>
              <w:jc w:val="both"/>
              <w:rPr>
                <w:rFonts w:ascii="Arial" w:hAnsi="Arial" w:cs="Arial"/>
                <w:b/>
                <w:bCs/>
              </w:rPr>
            </w:pPr>
            <w:r w:rsidRPr="4F36D01B">
              <w:rPr>
                <w:rFonts w:ascii="Arial" w:hAnsi="Arial" w:cs="Arial"/>
                <w:b/>
                <w:bCs/>
              </w:rPr>
              <w:t>Deadline</w:t>
            </w:r>
          </w:p>
        </w:tc>
        <w:tc>
          <w:tcPr>
            <w:tcW w:w="1780" w:type="dxa"/>
            <w:shd w:val="clear" w:color="auto" w:fill="BFBFBF" w:themeFill="background1" w:themeFillShade="BF"/>
          </w:tcPr>
          <w:p w14:paraId="7050C056" w14:textId="77777777" w:rsidR="009815F0" w:rsidRPr="00092B12" w:rsidRDefault="009815F0" w:rsidP="0052058E">
            <w:pPr>
              <w:jc w:val="both"/>
              <w:rPr>
                <w:rFonts w:ascii="Arial" w:hAnsi="Arial" w:cs="Arial"/>
                <w:b/>
              </w:rPr>
            </w:pPr>
            <w:r w:rsidRPr="00092B12">
              <w:rPr>
                <w:rFonts w:ascii="Arial" w:hAnsi="Arial" w:cs="Arial"/>
                <w:b/>
              </w:rPr>
              <w:t>Milestone payment</w:t>
            </w:r>
          </w:p>
        </w:tc>
      </w:tr>
      <w:tr w:rsidR="009815F0" w14:paraId="34A5CC92" w14:textId="77777777" w:rsidTr="4F36D01B">
        <w:trPr>
          <w:trHeight w:val="300"/>
        </w:trPr>
        <w:tc>
          <w:tcPr>
            <w:tcW w:w="3643" w:type="dxa"/>
          </w:tcPr>
          <w:p w14:paraId="5907B69B" w14:textId="0161E046" w:rsidR="009815F0" w:rsidRPr="000845BE" w:rsidRDefault="57550D2A" w:rsidP="0052058E">
            <w:pPr>
              <w:rPr>
                <w:rFonts w:ascii="Arial" w:hAnsi="Arial" w:cs="Arial"/>
              </w:rPr>
            </w:pPr>
            <w:r w:rsidRPr="4F36D01B">
              <w:rPr>
                <w:rFonts w:ascii="Arial" w:hAnsi="Arial" w:cs="Arial"/>
              </w:rPr>
              <w:t xml:space="preserve"> IUCN GL Reviewer workplan</w:t>
            </w:r>
          </w:p>
        </w:tc>
        <w:tc>
          <w:tcPr>
            <w:tcW w:w="3643" w:type="dxa"/>
          </w:tcPr>
          <w:p w14:paraId="7C3DDDE6" w14:textId="2AE4F224" w:rsidR="57550D2A" w:rsidRPr="4F36D01B" w:rsidRDefault="57550D2A" w:rsidP="4F36D01B">
            <w:pPr>
              <w:jc w:val="both"/>
              <w:rPr>
                <w:rFonts w:ascii="Arial" w:hAnsi="Arial" w:cs="Arial"/>
              </w:rPr>
            </w:pPr>
            <w:r w:rsidRPr="4F36D01B">
              <w:rPr>
                <w:rFonts w:ascii="Arial" w:hAnsi="Arial" w:cs="Arial"/>
              </w:rPr>
              <w:t>By December 2024</w:t>
            </w:r>
          </w:p>
        </w:tc>
        <w:tc>
          <w:tcPr>
            <w:tcW w:w="1780" w:type="dxa"/>
          </w:tcPr>
          <w:p w14:paraId="17F532AD" w14:textId="55BC472F" w:rsidR="009815F0" w:rsidRPr="000845BE" w:rsidRDefault="00C72926" w:rsidP="0052058E">
            <w:pPr>
              <w:jc w:val="both"/>
              <w:rPr>
                <w:rFonts w:ascii="Arial" w:hAnsi="Arial" w:cs="Arial"/>
              </w:rPr>
            </w:pPr>
            <w:r>
              <w:rPr>
                <w:rFonts w:ascii="Arial" w:hAnsi="Arial" w:cs="Arial"/>
              </w:rPr>
              <w:t>40%</w:t>
            </w:r>
          </w:p>
        </w:tc>
      </w:tr>
      <w:tr w:rsidR="009815F0" w14:paraId="6CD56D4D" w14:textId="77777777" w:rsidTr="4F36D01B">
        <w:trPr>
          <w:trHeight w:val="300"/>
        </w:trPr>
        <w:tc>
          <w:tcPr>
            <w:tcW w:w="3643" w:type="dxa"/>
          </w:tcPr>
          <w:p w14:paraId="57A5DFF1" w14:textId="48CB4658" w:rsidR="009815F0" w:rsidRPr="000845BE" w:rsidRDefault="009815F0" w:rsidP="0052058E">
            <w:pPr>
              <w:rPr>
                <w:rFonts w:ascii="Arial" w:hAnsi="Arial" w:cs="Arial"/>
              </w:rPr>
            </w:pPr>
            <w:r w:rsidRPr="000845BE">
              <w:rPr>
                <w:rFonts w:ascii="Arial" w:hAnsi="Arial" w:cs="Arial"/>
              </w:rPr>
              <w:t xml:space="preserve">Report on Green-List </w:t>
            </w:r>
            <w:r w:rsidR="16EBE0EF" w:rsidRPr="4F36D01B">
              <w:rPr>
                <w:rFonts w:ascii="Arial" w:hAnsi="Arial" w:cs="Arial"/>
              </w:rPr>
              <w:t>reviewer activities</w:t>
            </w:r>
            <w:r w:rsidRPr="000845BE">
              <w:rPr>
                <w:rFonts w:ascii="Arial" w:hAnsi="Arial" w:cs="Arial"/>
              </w:rPr>
              <w:t xml:space="preserve"> in the </w:t>
            </w:r>
            <w:r w:rsidR="00C72926">
              <w:rPr>
                <w:rFonts w:ascii="Arial" w:hAnsi="Arial" w:cs="Arial"/>
              </w:rPr>
              <w:t>Southern European</w:t>
            </w:r>
            <w:r w:rsidR="00303DED" w:rsidRPr="000845BE">
              <w:rPr>
                <w:rFonts w:ascii="Arial" w:hAnsi="Arial" w:cs="Arial"/>
              </w:rPr>
              <w:t xml:space="preserve"> region</w:t>
            </w:r>
          </w:p>
        </w:tc>
        <w:tc>
          <w:tcPr>
            <w:tcW w:w="3643" w:type="dxa"/>
          </w:tcPr>
          <w:p w14:paraId="184FC2C6" w14:textId="46BB6E6F" w:rsidR="6FDF1043" w:rsidRPr="4F36D01B" w:rsidRDefault="6FDF1043" w:rsidP="4F36D01B">
            <w:pPr>
              <w:jc w:val="both"/>
              <w:rPr>
                <w:rFonts w:ascii="Arial" w:hAnsi="Arial" w:cs="Arial"/>
              </w:rPr>
            </w:pPr>
            <w:r w:rsidRPr="4F36D01B">
              <w:rPr>
                <w:rFonts w:ascii="Arial" w:hAnsi="Arial" w:cs="Arial"/>
              </w:rPr>
              <w:t>By October 2025</w:t>
            </w:r>
          </w:p>
        </w:tc>
        <w:tc>
          <w:tcPr>
            <w:tcW w:w="1780" w:type="dxa"/>
          </w:tcPr>
          <w:p w14:paraId="118D17C4" w14:textId="2ADC597F" w:rsidR="009815F0" w:rsidRPr="000845BE" w:rsidRDefault="00C72926" w:rsidP="0052058E">
            <w:pPr>
              <w:jc w:val="both"/>
              <w:rPr>
                <w:rFonts w:ascii="Arial" w:hAnsi="Arial" w:cs="Arial"/>
              </w:rPr>
            </w:pPr>
            <w:r>
              <w:rPr>
                <w:rFonts w:ascii="Arial" w:hAnsi="Arial" w:cs="Arial"/>
              </w:rPr>
              <w:t>6</w:t>
            </w:r>
            <w:r w:rsidR="009815F0" w:rsidRPr="000845BE">
              <w:rPr>
                <w:rFonts w:ascii="Arial" w:hAnsi="Arial" w:cs="Arial"/>
              </w:rPr>
              <w:t>0%</w:t>
            </w:r>
          </w:p>
        </w:tc>
      </w:tr>
    </w:tbl>
    <w:p w14:paraId="52CF1E87" w14:textId="77777777" w:rsidR="009815F0" w:rsidRDefault="009815F0" w:rsidP="009815F0">
      <w:pPr>
        <w:spacing w:line="240" w:lineRule="auto"/>
        <w:rPr>
          <w:rFonts w:ascii="Arial" w:hAnsi="Arial" w:cs="Arial"/>
          <w:b/>
        </w:rPr>
      </w:pPr>
    </w:p>
    <w:p w14:paraId="0ED6F8EB" w14:textId="02396B96" w:rsidR="475E652B" w:rsidRDefault="475E652B" w:rsidP="4F36D01B">
      <w:pPr>
        <w:spacing w:line="240" w:lineRule="auto"/>
        <w:rPr>
          <w:rFonts w:ascii="Arial" w:hAnsi="Arial" w:cs="Arial"/>
          <w:b/>
          <w:bCs/>
        </w:rPr>
      </w:pPr>
      <w:r w:rsidRPr="4F36D01B">
        <w:rPr>
          <w:rFonts w:ascii="Arial" w:hAnsi="Arial" w:cs="Arial"/>
          <w:b/>
          <w:bCs/>
        </w:rPr>
        <w:t>Budget</w:t>
      </w:r>
    </w:p>
    <w:p w14:paraId="1445D0CE" w14:textId="0F31F109" w:rsidR="475E652B" w:rsidRDefault="475E652B" w:rsidP="4F36D01B">
      <w:pPr>
        <w:spacing w:line="240" w:lineRule="auto"/>
        <w:jc w:val="both"/>
        <w:rPr>
          <w:rFonts w:ascii="Arial" w:hAnsi="Arial" w:cs="Arial"/>
        </w:rPr>
      </w:pPr>
      <w:r w:rsidRPr="4F36D01B">
        <w:rPr>
          <w:rFonts w:ascii="Arial" w:hAnsi="Arial" w:cs="Arial"/>
        </w:rPr>
        <w:t>The maximum budget available for this consultancy is 5,400 EUR (VAT and any other taxes included).</w:t>
      </w:r>
    </w:p>
    <w:p w14:paraId="0951E23D" w14:textId="2EF4ED1F" w:rsidR="4F36D01B" w:rsidRDefault="4F36D01B" w:rsidP="4F36D01B">
      <w:pPr>
        <w:spacing w:line="240" w:lineRule="auto"/>
        <w:rPr>
          <w:rFonts w:ascii="Arial" w:hAnsi="Arial" w:cs="Arial"/>
          <w:b/>
          <w:bCs/>
        </w:rPr>
      </w:pPr>
    </w:p>
    <w:p w14:paraId="69C90AF0" w14:textId="39DB5C1A" w:rsidR="775538DF" w:rsidRPr="00865124" w:rsidRDefault="775538DF" w:rsidP="002518CF">
      <w:pPr>
        <w:spacing w:line="240" w:lineRule="auto"/>
        <w:rPr>
          <w:rFonts w:ascii="Arial" w:hAnsi="Arial" w:cs="Arial"/>
          <w:b/>
          <w:bCs/>
        </w:rPr>
      </w:pPr>
      <w:r w:rsidRPr="00865124">
        <w:rPr>
          <w:rFonts w:ascii="Arial" w:hAnsi="Arial" w:cs="Arial"/>
          <w:b/>
          <w:bCs/>
        </w:rPr>
        <w:t>Travel</w:t>
      </w:r>
    </w:p>
    <w:p w14:paraId="24F0CF07" w14:textId="2C249D8C" w:rsidR="011CE4E3" w:rsidRPr="00865124" w:rsidRDefault="775538DF" w:rsidP="00865124">
      <w:pPr>
        <w:spacing w:line="240" w:lineRule="auto"/>
        <w:jc w:val="both"/>
        <w:rPr>
          <w:rFonts w:ascii="Arial" w:hAnsi="Arial" w:cs="Arial"/>
        </w:rPr>
      </w:pPr>
      <w:r w:rsidRPr="00865124">
        <w:rPr>
          <w:rFonts w:ascii="Arial" w:hAnsi="Arial" w:cs="Arial"/>
        </w:rPr>
        <w:t>Any necessary travel shall be agreed upon in advance, with all associated expenses to be borne by IUCN.</w:t>
      </w:r>
    </w:p>
    <w:p w14:paraId="47C9D148" w14:textId="30BE0271" w:rsidR="4F36D01B" w:rsidRDefault="4F36D01B" w:rsidP="4F36D01B">
      <w:pPr>
        <w:spacing w:line="240" w:lineRule="auto"/>
        <w:rPr>
          <w:rFonts w:ascii="Arial" w:hAnsi="Arial" w:cs="Arial"/>
          <w:b/>
          <w:bCs/>
        </w:rPr>
      </w:pPr>
    </w:p>
    <w:p w14:paraId="6ED30F1C" w14:textId="77777777" w:rsidR="009815F0" w:rsidRPr="001032CA" w:rsidRDefault="009815F0" w:rsidP="009815F0">
      <w:pPr>
        <w:spacing w:line="240" w:lineRule="auto"/>
        <w:rPr>
          <w:rFonts w:ascii="Arial" w:hAnsi="Arial" w:cs="Arial"/>
          <w:b/>
        </w:rPr>
      </w:pPr>
      <w:r>
        <w:rPr>
          <w:rFonts w:ascii="Arial" w:hAnsi="Arial" w:cs="Arial"/>
          <w:b/>
        </w:rPr>
        <w:t>Skills and Experience</w:t>
      </w:r>
    </w:p>
    <w:p w14:paraId="31F79EDB" w14:textId="77777777" w:rsidR="009815F0" w:rsidRPr="00193309" w:rsidRDefault="009815F0" w:rsidP="009815F0">
      <w:pPr>
        <w:spacing w:line="240" w:lineRule="auto"/>
        <w:ind w:firstLine="720"/>
        <w:jc w:val="both"/>
        <w:rPr>
          <w:rFonts w:ascii="Arial" w:hAnsi="Arial" w:cs="Arial"/>
        </w:rPr>
      </w:pPr>
      <w:r w:rsidRPr="00193309">
        <w:rPr>
          <w:rFonts w:ascii="Arial" w:hAnsi="Arial" w:cs="Arial"/>
        </w:rPr>
        <w:t>The consultant must have the following skills, education and experience as a minimum:</w:t>
      </w:r>
    </w:p>
    <w:p w14:paraId="039610CD" w14:textId="77777777" w:rsidR="009815F0" w:rsidRPr="00D050D7" w:rsidRDefault="009815F0" w:rsidP="009815F0">
      <w:pPr>
        <w:pStyle w:val="ListParagraph"/>
        <w:numPr>
          <w:ilvl w:val="0"/>
          <w:numId w:val="9"/>
        </w:numPr>
        <w:spacing w:line="240" w:lineRule="auto"/>
        <w:ind w:left="1080"/>
        <w:rPr>
          <w:rFonts w:ascii="Arial" w:hAnsi="Arial" w:cs="Arial"/>
          <w:b/>
        </w:rPr>
      </w:pPr>
      <w:r w:rsidRPr="00D050D7">
        <w:rPr>
          <w:rFonts w:ascii="Arial" w:hAnsi="Arial" w:cs="Arial"/>
        </w:rPr>
        <w:lastRenderedPageBreak/>
        <w:t xml:space="preserve">Lead auditor training or qualification in ISO/IEC 19011, ISO 9000 or ISO 14001, or FSC forest management or other relevant experience </w:t>
      </w:r>
    </w:p>
    <w:p w14:paraId="2F0F48C3" w14:textId="77777777" w:rsidR="009815F0" w:rsidRPr="00E13D79" w:rsidRDefault="009815F0" w:rsidP="009815F0">
      <w:pPr>
        <w:pStyle w:val="ListParagraph"/>
        <w:numPr>
          <w:ilvl w:val="0"/>
          <w:numId w:val="9"/>
        </w:numPr>
        <w:spacing w:line="240" w:lineRule="auto"/>
        <w:ind w:left="1080"/>
        <w:rPr>
          <w:rFonts w:ascii="Arial" w:hAnsi="Arial" w:cs="Arial"/>
          <w:b/>
        </w:rPr>
      </w:pPr>
      <w:r w:rsidRPr="00D050D7">
        <w:rPr>
          <w:rFonts w:ascii="Arial" w:hAnsi="Arial" w:cs="Arial"/>
        </w:rPr>
        <w:t xml:space="preserve">At least five years of work in conformity assessment as a lead auditor or in relevant </w:t>
      </w:r>
      <w:proofErr w:type="gramStart"/>
      <w:r w:rsidRPr="00D050D7">
        <w:rPr>
          <w:rFonts w:ascii="Arial" w:hAnsi="Arial" w:cs="Arial"/>
        </w:rPr>
        <w:t>other</w:t>
      </w:r>
      <w:proofErr w:type="gramEnd"/>
      <w:r w:rsidRPr="00D050D7">
        <w:rPr>
          <w:rFonts w:ascii="Arial" w:hAnsi="Arial" w:cs="Arial"/>
        </w:rPr>
        <w:t xml:space="preserve"> role </w:t>
      </w:r>
    </w:p>
    <w:p w14:paraId="786734D5" w14:textId="77777777" w:rsidR="009815F0" w:rsidRPr="00D050D7" w:rsidRDefault="009815F0" w:rsidP="009815F0">
      <w:pPr>
        <w:pStyle w:val="ListParagraph"/>
        <w:numPr>
          <w:ilvl w:val="0"/>
          <w:numId w:val="9"/>
        </w:numPr>
        <w:spacing w:line="240" w:lineRule="auto"/>
        <w:ind w:left="1080"/>
        <w:rPr>
          <w:rFonts w:ascii="Arial" w:hAnsi="Arial" w:cs="Arial"/>
          <w:b/>
        </w:rPr>
      </w:pPr>
      <w:r w:rsidRPr="00D050D7">
        <w:rPr>
          <w:rFonts w:ascii="Arial" w:hAnsi="Arial" w:cs="Arial"/>
        </w:rPr>
        <w:t xml:space="preserve">Experience in evaluating stakeholder consultation processes </w:t>
      </w:r>
    </w:p>
    <w:p w14:paraId="2A62C0F9" w14:textId="77777777" w:rsidR="009815F0" w:rsidRPr="00D050D7" w:rsidRDefault="009815F0" w:rsidP="009815F0">
      <w:pPr>
        <w:pStyle w:val="ListParagraph"/>
        <w:numPr>
          <w:ilvl w:val="0"/>
          <w:numId w:val="9"/>
        </w:numPr>
        <w:spacing w:line="240" w:lineRule="auto"/>
        <w:ind w:left="1080"/>
        <w:rPr>
          <w:rFonts w:ascii="Arial" w:hAnsi="Arial" w:cs="Arial"/>
          <w:b/>
        </w:rPr>
      </w:pPr>
      <w:r w:rsidRPr="00D050D7">
        <w:rPr>
          <w:rFonts w:ascii="Arial" w:hAnsi="Arial" w:cs="Arial"/>
        </w:rPr>
        <w:t xml:space="preserve">Ability to communicate well with individuals at any socioeconomic, professional, political, or educational level </w:t>
      </w:r>
    </w:p>
    <w:p w14:paraId="2991D205" w14:textId="77777777" w:rsidR="009815F0" w:rsidRPr="00D050D7" w:rsidRDefault="009815F0" w:rsidP="009815F0">
      <w:pPr>
        <w:pStyle w:val="ListParagraph"/>
        <w:numPr>
          <w:ilvl w:val="0"/>
          <w:numId w:val="9"/>
        </w:numPr>
        <w:spacing w:line="240" w:lineRule="auto"/>
        <w:ind w:left="1080"/>
        <w:rPr>
          <w:rFonts w:ascii="Arial" w:hAnsi="Arial" w:cs="Arial"/>
          <w:b/>
        </w:rPr>
      </w:pPr>
      <w:r w:rsidRPr="00D050D7">
        <w:rPr>
          <w:rFonts w:ascii="Arial" w:hAnsi="Arial" w:cs="Arial"/>
        </w:rPr>
        <w:t xml:space="preserve">Strong negotiating skills </w:t>
      </w:r>
    </w:p>
    <w:p w14:paraId="5A32E12E" w14:textId="77777777" w:rsidR="009815F0" w:rsidRPr="00D050D7" w:rsidRDefault="009815F0" w:rsidP="009815F0">
      <w:pPr>
        <w:pStyle w:val="ListParagraph"/>
        <w:numPr>
          <w:ilvl w:val="0"/>
          <w:numId w:val="9"/>
        </w:numPr>
        <w:spacing w:line="240" w:lineRule="auto"/>
        <w:ind w:left="1080"/>
        <w:rPr>
          <w:rFonts w:ascii="Arial" w:hAnsi="Arial" w:cs="Arial"/>
          <w:b/>
        </w:rPr>
      </w:pPr>
      <w:r w:rsidRPr="00D050D7">
        <w:rPr>
          <w:rFonts w:ascii="Arial" w:hAnsi="Arial" w:cs="Arial"/>
        </w:rPr>
        <w:t xml:space="preserve">Ability to analyse and integrate diverse information from various sources and derive a conclusion from this information </w:t>
      </w:r>
    </w:p>
    <w:p w14:paraId="6CF599F8" w14:textId="77777777" w:rsidR="009815F0" w:rsidRPr="00B462F3" w:rsidRDefault="009815F0" w:rsidP="009815F0">
      <w:pPr>
        <w:pStyle w:val="ListParagraph"/>
        <w:numPr>
          <w:ilvl w:val="0"/>
          <w:numId w:val="9"/>
        </w:numPr>
        <w:spacing w:line="240" w:lineRule="auto"/>
        <w:ind w:left="1080"/>
        <w:rPr>
          <w:rFonts w:ascii="Arial" w:hAnsi="Arial" w:cs="Arial"/>
          <w:b/>
        </w:rPr>
      </w:pPr>
      <w:r w:rsidRPr="00B462F3">
        <w:rPr>
          <w:rFonts w:ascii="Arial" w:hAnsi="Arial" w:cs="Arial"/>
        </w:rPr>
        <w:t xml:space="preserve">Strong oral and written communication skills, ability to craft and deliver messages in an articulate manner </w:t>
      </w:r>
    </w:p>
    <w:p w14:paraId="2520AD64" w14:textId="495C6587" w:rsidR="009815F0" w:rsidRPr="006A7A34" w:rsidRDefault="009815F0" w:rsidP="009815F0">
      <w:pPr>
        <w:pStyle w:val="ListParagraph"/>
        <w:numPr>
          <w:ilvl w:val="0"/>
          <w:numId w:val="9"/>
        </w:numPr>
        <w:spacing w:line="240" w:lineRule="auto"/>
        <w:ind w:left="1080"/>
        <w:rPr>
          <w:rFonts w:ascii="Arial" w:hAnsi="Arial" w:cs="Arial"/>
          <w:b/>
        </w:rPr>
      </w:pPr>
      <w:r w:rsidRPr="00B462F3">
        <w:rPr>
          <w:rFonts w:ascii="Arial" w:hAnsi="Arial" w:cs="Arial"/>
        </w:rPr>
        <w:t xml:space="preserve">Understanding of relevant ecosystem, cultural and social issues in the </w:t>
      </w:r>
      <w:r w:rsidR="00B462F3" w:rsidRPr="00B462F3">
        <w:rPr>
          <w:rFonts w:ascii="Arial" w:hAnsi="Arial" w:cs="Arial"/>
        </w:rPr>
        <w:t xml:space="preserve">Southern </w:t>
      </w:r>
      <w:r w:rsidR="00B462F3" w:rsidRPr="006A7A34">
        <w:rPr>
          <w:rFonts w:ascii="Arial" w:hAnsi="Arial" w:cs="Arial"/>
        </w:rPr>
        <w:t>European</w:t>
      </w:r>
      <w:r w:rsidR="00303DED" w:rsidRPr="006A7A34">
        <w:rPr>
          <w:rFonts w:ascii="Arial" w:hAnsi="Arial" w:cs="Arial"/>
        </w:rPr>
        <w:t xml:space="preserve"> region </w:t>
      </w:r>
    </w:p>
    <w:p w14:paraId="71A89730" w14:textId="77777777" w:rsidR="009815F0" w:rsidRPr="006A7A34" w:rsidRDefault="009815F0" w:rsidP="009815F0">
      <w:pPr>
        <w:pStyle w:val="ListParagraph"/>
        <w:numPr>
          <w:ilvl w:val="0"/>
          <w:numId w:val="9"/>
        </w:numPr>
        <w:spacing w:line="240" w:lineRule="auto"/>
        <w:ind w:left="1080"/>
        <w:rPr>
          <w:rFonts w:ascii="Arial" w:hAnsi="Arial" w:cs="Arial"/>
          <w:b/>
        </w:rPr>
      </w:pPr>
      <w:r w:rsidRPr="006A7A34">
        <w:rPr>
          <w:rFonts w:ascii="Arial" w:hAnsi="Arial" w:cs="Arial"/>
        </w:rPr>
        <w:t>Good command of written and spoken English</w:t>
      </w:r>
    </w:p>
    <w:p w14:paraId="6BBCFFAD" w14:textId="25BB748B" w:rsidR="009815F0" w:rsidRPr="006A7A34" w:rsidRDefault="009815F0" w:rsidP="009815F0">
      <w:pPr>
        <w:pStyle w:val="ListParagraph"/>
        <w:numPr>
          <w:ilvl w:val="0"/>
          <w:numId w:val="9"/>
        </w:numPr>
        <w:spacing w:line="240" w:lineRule="auto"/>
        <w:ind w:left="1080"/>
        <w:rPr>
          <w:rFonts w:ascii="Arial" w:hAnsi="Arial" w:cs="Arial"/>
          <w:b/>
        </w:rPr>
      </w:pPr>
      <w:r w:rsidRPr="006A7A34">
        <w:rPr>
          <w:rFonts w:ascii="Arial" w:hAnsi="Arial" w:cs="Arial"/>
          <w:bCs/>
        </w:rPr>
        <w:t>Workin</w:t>
      </w:r>
      <w:r w:rsidRPr="006A7A34">
        <w:rPr>
          <w:rFonts w:ascii="Arial" w:hAnsi="Arial" w:cs="Arial"/>
        </w:rPr>
        <w:t xml:space="preserve">g knowledge of </w:t>
      </w:r>
      <w:r w:rsidR="1A7A2605" w:rsidRPr="006A7A34">
        <w:rPr>
          <w:rFonts w:ascii="Arial" w:hAnsi="Arial" w:cs="Arial"/>
        </w:rPr>
        <w:t>Italian and Spanish. Knowledge of other</w:t>
      </w:r>
      <w:r w:rsidRPr="006A7A34">
        <w:rPr>
          <w:rFonts w:ascii="Arial" w:hAnsi="Arial" w:cs="Arial"/>
        </w:rPr>
        <w:t xml:space="preserve"> </w:t>
      </w:r>
      <w:r w:rsidR="00B462F3" w:rsidRPr="006A7A34">
        <w:rPr>
          <w:rFonts w:ascii="Arial" w:hAnsi="Arial" w:cs="Arial"/>
        </w:rPr>
        <w:t>Southern European</w:t>
      </w:r>
      <w:r w:rsidR="00303DED" w:rsidRPr="006A7A34">
        <w:rPr>
          <w:rFonts w:ascii="Arial" w:hAnsi="Arial" w:cs="Arial"/>
        </w:rPr>
        <w:t xml:space="preserve"> </w:t>
      </w:r>
      <w:r w:rsidRPr="006A7A34">
        <w:rPr>
          <w:rFonts w:ascii="Arial" w:hAnsi="Arial" w:cs="Arial"/>
        </w:rPr>
        <w:t>language(s</w:t>
      </w:r>
      <w:r w:rsidR="00303DED" w:rsidRPr="006A7A34">
        <w:rPr>
          <w:rFonts w:ascii="Arial" w:hAnsi="Arial" w:cs="Arial"/>
        </w:rPr>
        <w:t>)</w:t>
      </w:r>
      <w:r w:rsidRPr="006A7A34">
        <w:rPr>
          <w:rFonts w:ascii="Arial" w:hAnsi="Arial" w:cs="Arial"/>
        </w:rPr>
        <w:t xml:space="preserve"> will be considered an asset.</w:t>
      </w:r>
    </w:p>
    <w:p w14:paraId="4CA977C6" w14:textId="77777777" w:rsidR="009815F0" w:rsidRPr="006A7A34" w:rsidRDefault="009815F0" w:rsidP="009815F0">
      <w:pPr>
        <w:spacing w:line="240" w:lineRule="auto"/>
        <w:rPr>
          <w:rFonts w:ascii="Arial" w:hAnsi="Arial" w:cs="Arial"/>
          <w:b/>
        </w:rPr>
      </w:pPr>
      <w:r w:rsidRPr="006A7A34">
        <w:rPr>
          <w:rFonts w:ascii="Arial" w:hAnsi="Arial" w:cs="Arial"/>
          <w:b/>
        </w:rPr>
        <w:t>Supervision and coordination</w:t>
      </w:r>
    </w:p>
    <w:p w14:paraId="1C64BE60" w14:textId="24C926D1" w:rsidR="009815F0" w:rsidRPr="006A7A34" w:rsidRDefault="009815F0" w:rsidP="006A7A34">
      <w:pPr>
        <w:spacing w:line="240" w:lineRule="auto"/>
        <w:rPr>
          <w:rFonts w:ascii="Arial" w:hAnsi="Arial" w:cs="Arial"/>
        </w:rPr>
      </w:pPr>
      <w:r w:rsidRPr="006A7A34">
        <w:rPr>
          <w:rFonts w:ascii="Arial" w:hAnsi="Arial" w:cs="Arial"/>
        </w:rPr>
        <w:t xml:space="preserve">The consultant will under the supervision of </w:t>
      </w:r>
      <w:r w:rsidR="5F5AFBFD" w:rsidRPr="006A7A34">
        <w:rPr>
          <w:rFonts w:ascii="Arial" w:hAnsi="Arial" w:cs="Arial"/>
        </w:rPr>
        <w:t>the</w:t>
      </w:r>
      <w:r w:rsidRPr="006A7A34">
        <w:rPr>
          <w:rFonts w:ascii="Arial" w:hAnsi="Arial" w:cs="Arial"/>
        </w:rPr>
        <w:t xml:space="preserve"> </w:t>
      </w:r>
      <w:r w:rsidR="627299B2" w:rsidRPr="006A7A34">
        <w:rPr>
          <w:rFonts w:ascii="Arial" w:hAnsi="Arial" w:cs="Arial"/>
        </w:rPr>
        <w:t>IUCN Med Green List Officer</w:t>
      </w:r>
      <w:r w:rsidRPr="006A7A34">
        <w:rPr>
          <w:rFonts w:ascii="Arial" w:hAnsi="Arial" w:cs="Arial"/>
        </w:rPr>
        <w:t xml:space="preserve"> </w:t>
      </w:r>
      <w:r w:rsidR="19C81BE8" w:rsidRPr="006A7A34">
        <w:rPr>
          <w:rFonts w:ascii="Arial" w:hAnsi="Arial" w:cs="Arial"/>
        </w:rPr>
        <w:t xml:space="preserve">within the Ecosystem Resilience and Spatial Planning team </w:t>
      </w:r>
      <w:r w:rsidR="19C81BE8" w:rsidRPr="006A7A34">
        <w:rPr>
          <w:rFonts w:ascii="Arial" w:eastAsia="Arial" w:hAnsi="Arial" w:cs="Arial"/>
        </w:rPr>
        <w:t>at IUCN Centre for Mediterranean Cooperation.</w:t>
      </w:r>
    </w:p>
    <w:p w14:paraId="5FE81B60" w14:textId="77777777" w:rsidR="009815F0" w:rsidRPr="0053433B" w:rsidRDefault="009815F0" w:rsidP="009815F0">
      <w:pPr>
        <w:spacing w:line="240" w:lineRule="auto"/>
        <w:jc w:val="both"/>
        <w:rPr>
          <w:rFonts w:ascii="Arial" w:hAnsi="Arial" w:cs="Arial"/>
          <w:highlight w:val="cyan"/>
        </w:rPr>
      </w:pPr>
    </w:p>
    <w:p w14:paraId="411017F3" w14:textId="3A394217" w:rsidR="003A2850" w:rsidRPr="0053433B" w:rsidRDefault="003A2850" w:rsidP="009815F0">
      <w:pPr>
        <w:spacing w:line="240" w:lineRule="auto"/>
        <w:rPr>
          <w:rFonts w:ascii="Arial" w:hAnsi="Arial" w:cs="Arial"/>
          <w:highlight w:val="cyan"/>
        </w:rPr>
      </w:pPr>
    </w:p>
    <w:sectPr w:rsidR="003A2850" w:rsidRPr="0053433B">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05C87" w14:textId="77777777" w:rsidR="004C14E4" w:rsidRDefault="004C14E4" w:rsidP="00AF6C87">
      <w:pPr>
        <w:spacing w:after="0" w:line="240" w:lineRule="auto"/>
      </w:pPr>
      <w:r>
        <w:separator/>
      </w:r>
    </w:p>
  </w:endnote>
  <w:endnote w:type="continuationSeparator" w:id="0">
    <w:p w14:paraId="1E230867" w14:textId="77777777" w:rsidR="004C14E4" w:rsidRDefault="004C14E4" w:rsidP="00AF6C87">
      <w:pPr>
        <w:spacing w:after="0" w:line="240" w:lineRule="auto"/>
      </w:pPr>
      <w:r>
        <w:continuationSeparator/>
      </w:r>
    </w:p>
  </w:endnote>
  <w:endnote w:type="continuationNotice" w:id="1">
    <w:p w14:paraId="24D62B93" w14:textId="77777777" w:rsidR="004C14E4" w:rsidRDefault="004C14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Shell Dlg">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A8F2D" w14:textId="59E51D0D" w:rsidR="00AF6C87" w:rsidRDefault="00AF6C87">
    <w:pPr>
      <w:pStyle w:val="Footer"/>
    </w:pPr>
    <w:r>
      <w:t>Terms of Reference for Consultancy</w:t>
    </w:r>
    <w:r w:rsidR="00B75C8C">
      <w:t xml:space="preserve"> v1 March2024</w:t>
    </w:r>
  </w:p>
  <w:p w14:paraId="29C3637A" w14:textId="77777777" w:rsidR="00AF6C87" w:rsidRDefault="00AF6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C6C3" w14:textId="77777777" w:rsidR="004C14E4" w:rsidRDefault="004C14E4" w:rsidP="00AF6C87">
      <w:pPr>
        <w:spacing w:after="0" w:line="240" w:lineRule="auto"/>
      </w:pPr>
      <w:r>
        <w:separator/>
      </w:r>
    </w:p>
  </w:footnote>
  <w:footnote w:type="continuationSeparator" w:id="0">
    <w:p w14:paraId="773B5A04" w14:textId="77777777" w:rsidR="004C14E4" w:rsidRDefault="004C14E4" w:rsidP="00AF6C87">
      <w:pPr>
        <w:spacing w:after="0" w:line="240" w:lineRule="auto"/>
      </w:pPr>
      <w:r>
        <w:continuationSeparator/>
      </w:r>
    </w:p>
  </w:footnote>
  <w:footnote w:type="continuationNotice" w:id="1">
    <w:p w14:paraId="08AA3FDA" w14:textId="77777777" w:rsidR="004C14E4" w:rsidRDefault="004C14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F36D01B" w14:paraId="277FDE8A" w14:textId="77777777" w:rsidTr="4F36D01B">
      <w:trPr>
        <w:trHeight w:val="300"/>
      </w:trPr>
      <w:tc>
        <w:tcPr>
          <w:tcW w:w="3005" w:type="dxa"/>
        </w:tcPr>
        <w:p w14:paraId="02D9BEEE" w14:textId="3E0E4B37" w:rsidR="4F36D01B" w:rsidRDefault="4F36D01B" w:rsidP="4F36D01B">
          <w:pPr>
            <w:pStyle w:val="Header"/>
            <w:ind w:left="-115"/>
          </w:pPr>
        </w:p>
      </w:tc>
      <w:tc>
        <w:tcPr>
          <w:tcW w:w="3005" w:type="dxa"/>
        </w:tcPr>
        <w:p w14:paraId="4FBBBE30" w14:textId="0E928A51" w:rsidR="4F36D01B" w:rsidRDefault="4F36D01B" w:rsidP="4F36D01B">
          <w:pPr>
            <w:pStyle w:val="Header"/>
            <w:jc w:val="center"/>
          </w:pPr>
        </w:p>
      </w:tc>
      <w:tc>
        <w:tcPr>
          <w:tcW w:w="3005" w:type="dxa"/>
        </w:tcPr>
        <w:p w14:paraId="24F2305B" w14:textId="2A598D14" w:rsidR="4F36D01B" w:rsidRDefault="4F36D01B" w:rsidP="4F36D01B">
          <w:pPr>
            <w:pStyle w:val="Header"/>
            <w:ind w:right="-115"/>
            <w:jc w:val="right"/>
          </w:pPr>
        </w:p>
      </w:tc>
    </w:tr>
  </w:tbl>
  <w:p w14:paraId="0D2E2A2B" w14:textId="15498154" w:rsidR="0026639A" w:rsidRDefault="00266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562"/>
    <w:multiLevelType w:val="hybridMultilevel"/>
    <w:tmpl w:val="9AF401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66437E"/>
    <w:multiLevelType w:val="hybridMultilevel"/>
    <w:tmpl w:val="0C965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77781"/>
    <w:multiLevelType w:val="hybridMultilevel"/>
    <w:tmpl w:val="D2048C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024A35"/>
    <w:multiLevelType w:val="hybridMultilevel"/>
    <w:tmpl w:val="D660A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87B71"/>
    <w:multiLevelType w:val="hybridMultilevel"/>
    <w:tmpl w:val="0000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D7512"/>
    <w:multiLevelType w:val="hybridMultilevel"/>
    <w:tmpl w:val="4F76B5F6"/>
    <w:lvl w:ilvl="0" w:tplc="76089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DC6785B"/>
    <w:multiLevelType w:val="hybridMultilevel"/>
    <w:tmpl w:val="192ABA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1A3125C"/>
    <w:multiLevelType w:val="hybridMultilevel"/>
    <w:tmpl w:val="02D02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C2064AB"/>
    <w:multiLevelType w:val="hybridMultilevel"/>
    <w:tmpl w:val="4F76B5F6"/>
    <w:lvl w:ilvl="0" w:tplc="76089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79278485">
    <w:abstractNumId w:val="2"/>
  </w:num>
  <w:num w:numId="2" w16cid:durableId="160050643">
    <w:abstractNumId w:val="8"/>
  </w:num>
  <w:num w:numId="3" w16cid:durableId="549539463">
    <w:abstractNumId w:val="5"/>
  </w:num>
  <w:num w:numId="4" w16cid:durableId="266937101">
    <w:abstractNumId w:val="1"/>
  </w:num>
  <w:num w:numId="5" w16cid:durableId="2067604120">
    <w:abstractNumId w:val="3"/>
  </w:num>
  <w:num w:numId="6" w16cid:durableId="386879558">
    <w:abstractNumId w:val="7"/>
  </w:num>
  <w:num w:numId="7" w16cid:durableId="1482578199">
    <w:abstractNumId w:val="0"/>
  </w:num>
  <w:num w:numId="8" w16cid:durableId="352651252">
    <w:abstractNumId w:val="6"/>
  </w:num>
  <w:num w:numId="9" w16cid:durableId="1389299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59"/>
    <w:rsid w:val="0002124D"/>
    <w:rsid w:val="000240D3"/>
    <w:rsid w:val="00025462"/>
    <w:rsid w:val="00027141"/>
    <w:rsid w:val="0002722D"/>
    <w:rsid w:val="00033D20"/>
    <w:rsid w:val="00043E18"/>
    <w:rsid w:val="000516B0"/>
    <w:rsid w:val="00055414"/>
    <w:rsid w:val="000648EC"/>
    <w:rsid w:val="00080C3A"/>
    <w:rsid w:val="000812DE"/>
    <w:rsid w:val="000841E8"/>
    <w:rsid w:val="000845BE"/>
    <w:rsid w:val="00090687"/>
    <w:rsid w:val="00091C51"/>
    <w:rsid w:val="00092B12"/>
    <w:rsid w:val="000A0C42"/>
    <w:rsid w:val="000B284C"/>
    <w:rsid w:val="000C1F79"/>
    <w:rsid w:val="000C43C4"/>
    <w:rsid w:val="000E11D4"/>
    <w:rsid w:val="000E4032"/>
    <w:rsid w:val="000E5664"/>
    <w:rsid w:val="000F5740"/>
    <w:rsid w:val="000F693A"/>
    <w:rsid w:val="001032CA"/>
    <w:rsid w:val="00104C53"/>
    <w:rsid w:val="00110A65"/>
    <w:rsid w:val="00113FD5"/>
    <w:rsid w:val="00114E6D"/>
    <w:rsid w:val="00122D0B"/>
    <w:rsid w:val="001249AD"/>
    <w:rsid w:val="00126A34"/>
    <w:rsid w:val="001329E4"/>
    <w:rsid w:val="00140C49"/>
    <w:rsid w:val="001429AF"/>
    <w:rsid w:val="0014476E"/>
    <w:rsid w:val="00156D68"/>
    <w:rsid w:val="001629EA"/>
    <w:rsid w:val="00162B65"/>
    <w:rsid w:val="001657E2"/>
    <w:rsid w:val="00185064"/>
    <w:rsid w:val="00191546"/>
    <w:rsid w:val="00193309"/>
    <w:rsid w:val="00194AE0"/>
    <w:rsid w:val="001A13C7"/>
    <w:rsid w:val="001A307D"/>
    <w:rsid w:val="001A4B13"/>
    <w:rsid w:val="001A50C6"/>
    <w:rsid w:val="001A553E"/>
    <w:rsid w:val="001C0C64"/>
    <w:rsid w:val="001C10E8"/>
    <w:rsid w:val="001C508C"/>
    <w:rsid w:val="001C7083"/>
    <w:rsid w:val="00200D45"/>
    <w:rsid w:val="00210E98"/>
    <w:rsid w:val="00212C44"/>
    <w:rsid w:val="002139ED"/>
    <w:rsid w:val="00214E90"/>
    <w:rsid w:val="00223526"/>
    <w:rsid w:val="00224C6E"/>
    <w:rsid w:val="00225D61"/>
    <w:rsid w:val="002323E3"/>
    <w:rsid w:val="00240153"/>
    <w:rsid w:val="002518CF"/>
    <w:rsid w:val="0025724E"/>
    <w:rsid w:val="00260A51"/>
    <w:rsid w:val="0026639A"/>
    <w:rsid w:val="00267933"/>
    <w:rsid w:val="002725AC"/>
    <w:rsid w:val="00277F78"/>
    <w:rsid w:val="00290486"/>
    <w:rsid w:val="002A22D2"/>
    <w:rsid w:val="002A5A38"/>
    <w:rsid w:val="002B2E7B"/>
    <w:rsid w:val="002C2463"/>
    <w:rsid w:val="002D1E45"/>
    <w:rsid w:val="002E1D2D"/>
    <w:rsid w:val="002E5DD4"/>
    <w:rsid w:val="002F4C36"/>
    <w:rsid w:val="00303DED"/>
    <w:rsid w:val="00314340"/>
    <w:rsid w:val="00315FAB"/>
    <w:rsid w:val="003359C7"/>
    <w:rsid w:val="00351EE0"/>
    <w:rsid w:val="003572AF"/>
    <w:rsid w:val="00374DF7"/>
    <w:rsid w:val="003818AC"/>
    <w:rsid w:val="003822E8"/>
    <w:rsid w:val="00383E9E"/>
    <w:rsid w:val="003942E3"/>
    <w:rsid w:val="00394599"/>
    <w:rsid w:val="003A2850"/>
    <w:rsid w:val="003C7746"/>
    <w:rsid w:val="003D0B1C"/>
    <w:rsid w:val="003D5083"/>
    <w:rsid w:val="003D5C14"/>
    <w:rsid w:val="003D6A17"/>
    <w:rsid w:val="003E79FA"/>
    <w:rsid w:val="003F0D72"/>
    <w:rsid w:val="003F2F33"/>
    <w:rsid w:val="0041473F"/>
    <w:rsid w:val="00423738"/>
    <w:rsid w:val="00427599"/>
    <w:rsid w:val="00442AC7"/>
    <w:rsid w:val="00444C3E"/>
    <w:rsid w:val="00445B5B"/>
    <w:rsid w:val="00446B7D"/>
    <w:rsid w:val="00447E1D"/>
    <w:rsid w:val="00456B34"/>
    <w:rsid w:val="00456B45"/>
    <w:rsid w:val="00460CBF"/>
    <w:rsid w:val="00494F15"/>
    <w:rsid w:val="004B0A45"/>
    <w:rsid w:val="004B34D9"/>
    <w:rsid w:val="004B3A0C"/>
    <w:rsid w:val="004C0EA5"/>
    <w:rsid w:val="004C14E4"/>
    <w:rsid w:val="004D2909"/>
    <w:rsid w:val="004D49CF"/>
    <w:rsid w:val="004E05C4"/>
    <w:rsid w:val="004E0F96"/>
    <w:rsid w:val="004E7651"/>
    <w:rsid w:val="004F14CB"/>
    <w:rsid w:val="004F29F8"/>
    <w:rsid w:val="004F6A3C"/>
    <w:rsid w:val="00502036"/>
    <w:rsid w:val="00525D76"/>
    <w:rsid w:val="005330F5"/>
    <w:rsid w:val="0053433B"/>
    <w:rsid w:val="0053717B"/>
    <w:rsid w:val="0054352A"/>
    <w:rsid w:val="005476E3"/>
    <w:rsid w:val="00551309"/>
    <w:rsid w:val="005547DC"/>
    <w:rsid w:val="005567F9"/>
    <w:rsid w:val="00562FC5"/>
    <w:rsid w:val="005755B0"/>
    <w:rsid w:val="00586FFA"/>
    <w:rsid w:val="005A3956"/>
    <w:rsid w:val="005B3FA6"/>
    <w:rsid w:val="005B3FBB"/>
    <w:rsid w:val="005B5DFD"/>
    <w:rsid w:val="005D075F"/>
    <w:rsid w:val="005D1C77"/>
    <w:rsid w:val="005D3C71"/>
    <w:rsid w:val="005D51B0"/>
    <w:rsid w:val="005D58F2"/>
    <w:rsid w:val="005D6D98"/>
    <w:rsid w:val="005E4CB6"/>
    <w:rsid w:val="00602BB8"/>
    <w:rsid w:val="00603D8E"/>
    <w:rsid w:val="006322E6"/>
    <w:rsid w:val="00640E33"/>
    <w:rsid w:val="00644D0D"/>
    <w:rsid w:val="00651492"/>
    <w:rsid w:val="00656588"/>
    <w:rsid w:val="00667ABB"/>
    <w:rsid w:val="0068101E"/>
    <w:rsid w:val="00685EFB"/>
    <w:rsid w:val="006913D6"/>
    <w:rsid w:val="00691C28"/>
    <w:rsid w:val="006A7A34"/>
    <w:rsid w:val="006C5186"/>
    <w:rsid w:val="006E06F6"/>
    <w:rsid w:val="006E55B5"/>
    <w:rsid w:val="006E6A0F"/>
    <w:rsid w:val="006F48CC"/>
    <w:rsid w:val="006F4CA7"/>
    <w:rsid w:val="006F5645"/>
    <w:rsid w:val="007071EC"/>
    <w:rsid w:val="0071564A"/>
    <w:rsid w:val="00717075"/>
    <w:rsid w:val="00722F83"/>
    <w:rsid w:val="007255BE"/>
    <w:rsid w:val="0074089C"/>
    <w:rsid w:val="00740A5A"/>
    <w:rsid w:val="0075140C"/>
    <w:rsid w:val="00755845"/>
    <w:rsid w:val="00755A97"/>
    <w:rsid w:val="0076674E"/>
    <w:rsid w:val="00766D7B"/>
    <w:rsid w:val="00774DB1"/>
    <w:rsid w:val="00784AC6"/>
    <w:rsid w:val="00796814"/>
    <w:rsid w:val="007A119F"/>
    <w:rsid w:val="007A2627"/>
    <w:rsid w:val="007A336A"/>
    <w:rsid w:val="007B5BDA"/>
    <w:rsid w:val="007C1828"/>
    <w:rsid w:val="007D119D"/>
    <w:rsid w:val="007D30FD"/>
    <w:rsid w:val="007E2ADD"/>
    <w:rsid w:val="007E5B59"/>
    <w:rsid w:val="007E7D58"/>
    <w:rsid w:val="007F702C"/>
    <w:rsid w:val="008133EA"/>
    <w:rsid w:val="0082309A"/>
    <w:rsid w:val="00830B84"/>
    <w:rsid w:val="00840CD2"/>
    <w:rsid w:val="0084354C"/>
    <w:rsid w:val="00843A02"/>
    <w:rsid w:val="00844C8E"/>
    <w:rsid w:val="008522C0"/>
    <w:rsid w:val="008555D9"/>
    <w:rsid w:val="00856B2D"/>
    <w:rsid w:val="00857665"/>
    <w:rsid w:val="00865124"/>
    <w:rsid w:val="00870C80"/>
    <w:rsid w:val="00876E05"/>
    <w:rsid w:val="00882931"/>
    <w:rsid w:val="0089476C"/>
    <w:rsid w:val="008A35F2"/>
    <w:rsid w:val="008A7B6E"/>
    <w:rsid w:val="008A7F36"/>
    <w:rsid w:val="008B4947"/>
    <w:rsid w:val="008C35CC"/>
    <w:rsid w:val="008D44B9"/>
    <w:rsid w:val="008D4731"/>
    <w:rsid w:val="008D61FC"/>
    <w:rsid w:val="008E1382"/>
    <w:rsid w:val="008E7D36"/>
    <w:rsid w:val="008F316E"/>
    <w:rsid w:val="008F6C7A"/>
    <w:rsid w:val="00903243"/>
    <w:rsid w:val="00917974"/>
    <w:rsid w:val="00923BD8"/>
    <w:rsid w:val="00931E0D"/>
    <w:rsid w:val="00953F5B"/>
    <w:rsid w:val="009541B3"/>
    <w:rsid w:val="00970407"/>
    <w:rsid w:val="0097075B"/>
    <w:rsid w:val="00970C6F"/>
    <w:rsid w:val="00975465"/>
    <w:rsid w:val="009803C7"/>
    <w:rsid w:val="009815F0"/>
    <w:rsid w:val="00983631"/>
    <w:rsid w:val="00985D7D"/>
    <w:rsid w:val="00990819"/>
    <w:rsid w:val="00991C23"/>
    <w:rsid w:val="009924A9"/>
    <w:rsid w:val="009A1DBD"/>
    <w:rsid w:val="009A3D73"/>
    <w:rsid w:val="009A4577"/>
    <w:rsid w:val="009C0859"/>
    <w:rsid w:val="009C1605"/>
    <w:rsid w:val="009C2AF4"/>
    <w:rsid w:val="009F5F8B"/>
    <w:rsid w:val="00A121B7"/>
    <w:rsid w:val="00A12269"/>
    <w:rsid w:val="00A201F0"/>
    <w:rsid w:val="00A23FA7"/>
    <w:rsid w:val="00A341B1"/>
    <w:rsid w:val="00A52AF5"/>
    <w:rsid w:val="00A54FD8"/>
    <w:rsid w:val="00A6254F"/>
    <w:rsid w:val="00A625E4"/>
    <w:rsid w:val="00A64042"/>
    <w:rsid w:val="00A656B3"/>
    <w:rsid w:val="00A71FF6"/>
    <w:rsid w:val="00A86C00"/>
    <w:rsid w:val="00A9329F"/>
    <w:rsid w:val="00A93F6E"/>
    <w:rsid w:val="00AB4E87"/>
    <w:rsid w:val="00AC5814"/>
    <w:rsid w:val="00AD6850"/>
    <w:rsid w:val="00AE6A1A"/>
    <w:rsid w:val="00AE6D7F"/>
    <w:rsid w:val="00AE78AA"/>
    <w:rsid w:val="00AF6C87"/>
    <w:rsid w:val="00B034BF"/>
    <w:rsid w:val="00B253E0"/>
    <w:rsid w:val="00B257B3"/>
    <w:rsid w:val="00B26C97"/>
    <w:rsid w:val="00B3043B"/>
    <w:rsid w:val="00B33334"/>
    <w:rsid w:val="00B371F2"/>
    <w:rsid w:val="00B44669"/>
    <w:rsid w:val="00B462F3"/>
    <w:rsid w:val="00B47167"/>
    <w:rsid w:val="00B55C41"/>
    <w:rsid w:val="00B62C00"/>
    <w:rsid w:val="00B657EC"/>
    <w:rsid w:val="00B7193E"/>
    <w:rsid w:val="00B75C8C"/>
    <w:rsid w:val="00B76CCE"/>
    <w:rsid w:val="00B85A15"/>
    <w:rsid w:val="00BA5C8A"/>
    <w:rsid w:val="00BA5F6E"/>
    <w:rsid w:val="00BB7BD9"/>
    <w:rsid w:val="00BC141A"/>
    <w:rsid w:val="00BC26F7"/>
    <w:rsid w:val="00BC55D8"/>
    <w:rsid w:val="00BD210F"/>
    <w:rsid w:val="00BD4FC5"/>
    <w:rsid w:val="00BD7D66"/>
    <w:rsid w:val="00BE34E6"/>
    <w:rsid w:val="00BF6C0B"/>
    <w:rsid w:val="00C00C3E"/>
    <w:rsid w:val="00C10EE2"/>
    <w:rsid w:val="00C223A0"/>
    <w:rsid w:val="00C24E34"/>
    <w:rsid w:val="00C27D55"/>
    <w:rsid w:val="00C32739"/>
    <w:rsid w:val="00C42F0C"/>
    <w:rsid w:val="00C4329A"/>
    <w:rsid w:val="00C54A5E"/>
    <w:rsid w:val="00C552C0"/>
    <w:rsid w:val="00C564D4"/>
    <w:rsid w:val="00C56761"/>
    <w:rsid w:val="00C6134E"/>
    <w:rsid w:val="00C63288"/>
    <w:rsid w:val="00C72926"/>
    <w:rsid w:val="00C7541E"/>
    <w:rsid w:val="00C8108A"/>
    <w:rsid w:val="00C83F25"/>
    <w:rsid w:val="00C95407"/>
    <w:rsid w:val="00CA38A5"/>
    <w:rsid w:val="00CA448A"/>
    <w:rsid w:val="00CA5B45"/>
    <w:rsid w:val="00CD14F0"/>
    <w:rsid w:val="00CD7ECB"/>
    <w:rsid w:val="00CE296E"/>
    <w:rsid w:val="00CF3DF2"/>
    <w:rsid w:val="00CF49A5"/>
    <w:rsid w:val="00CF62EC"/>
    <w:rsid w:val="00D02386"/>
    <w:rsid w:val="00D0559D"/>
    <w:rsid w:val="00D061BF"/>
    <w:rsid w:val="00D14EAA"/>
    <w:rsid w:val="00D36CCD"/>
    <w:rsid w:val="00D56F10"/>
    <w:rsid w:val="00D7551A"/>
    <w:rsid w:val="00D76481"/>
    <w:rsid w:val="00D861C3"/>
    <w:rsid w:val="00D92A90"/>
    <w:rsid w:val="00DA131A"/>
    <w:rsid w:val="00DA6462"/>
    <w:rsid w:val="00DA69F1"/>
    <w:rsid w:val="00DB2CFD"/>
    <w:rsid w:val="00DB7FCA"/>
    <w:rsid w:val="00DD0ECD"/>
    <w:rsid w:val="00DD1BCE"/>
    <w:rsid w:val="00DD1D20"/>
    <w:rsid w:val="00DD2082"/>
    <w:rsid w:val="00DD64C3"/>
    <w:rsid w:val="00DE02D1"/>
    <w:rsid w:val="00DE20C2"/>
    <w:rsid w:val="00DF51EB"/>
    <w:rsid w:val="00DF748E"/>
    <w:rsid w:val="00E04AD9"/>
    <w:rsid w:val="00E05534"/>
    <w:rsid w:val="00E05CD6"/>
    <w:rsid w:val="00E14400"/>
    <w:rsid w:val="00E301E5"/>
    <w:rsid w:val="00E324B8"/>
    <w:rsid w:val="00E52B5E"/>
    <w:rsid w:val="00E537DF"/>
    <w:rsid w:val="00E733BC"/>
    <w:rsid w:val="00E9776F"/>
    <w:rsid w:val="00EA0554"/>
    <w:rsid w:val="00EB4CD1"/>
    <w:rsid w:val="00EC19A8"/>
    <w:rsid w:val="00ED00C4"/>
    <w:rsid w:val="00EE74EA"/>
    <w:rsid w:val="00F04865"/>
    <w:rsid w:val="00F12CA6"/>
    <w:rsid w:val="00F14818"/>
    <w:rsid w:val="00F2674A"/>
    <w:rsid w:val="00F27F46"/>
    <w:rsid w:val="00F33673"/>
    <w:rsid w:val="00F36A7B"/>
    <w:rsid w:val="00F36DAE"/>
    <w:rsid w:val="00F47BB6"/>
    <w:rsid w:val="00F5693C"/>
    <w:rsid w:val="00F5799E"/>
    <w:rsid w:val="00F72354"/>
    <w:rsid w:val="00F750CD"/>
    <w:rsid w:val="00F7726B"/>
    <w:rsid w:val="00F83E34"/>
    <w:rsid w:val="00F92BCA"/>
    <w:rsid w:val="00F9508B"/>
    <w:rsid w:val="00F9789D"/>
    <w:rsid w:val="00FA5A39"/>
    <w:rsid w:val="00FB028A"/>
    <w:rsid w:val="00FC34B7"/>
    <w:rsid w:val="00FC5962"/>
    <w:rsid w:val="00FC5C9D"/>
    <w:rsid w:val="00FD34DC"/>
    <w:rsid w:val="00FD7FAE"/>
    <w:rsid w:val="00FE2E07"/>
    <w:rsid w:val="00FE6634"/>
    <w:rsid w:val="00FF0DB6"/>
    <w:rsid w:val="010A04F2"/>
    <w:rsid w:val="011CE4E3"/>
    <w:rsid w:val="024CE54A"/>
    <w:rsid w:val="02928901"/>
    <w:rsid w:val="02E85293"/>
    <w:rsid w:val="045FD051"/>
    <w:rsid w:val="0807F7A8"/>
    <w:rsid w:val="0DF160C5"/>
    <w:rsid w:val="12747C87"/>
    <w:rsid w:val="12943516"/>
    <w:rsid w:val="12AF1F05"/>
    <w:rsid w:val="142A5B81"/>
    <w:rsid w:val="1537BB39"/>
    <w:rsid w:val="15B0C7EB"/>
    <w:rsid w:val="1644E149"/>
    <w:rsid w:val="16EBE0EF"/>
    <w:rsid w:val="195B7306"/>
    <w:rsid w:val="19C81BE8"/>
    <w:rsid w:val="1A7A2605"/>
    <w:rsid w:val="1A92C4F6"/>
    <w:rsid w:val="1B73AC65"/>
    <w:rsid w:val="1E3E2F6C"/>
    <w:rsid w:val="1E5A05D3"/>
    <w:rsid w:val="1EFD6F0C"/>
    <w:rsid w:val="1F223E37"/>
    <w:rsid w:val="20682692"/>
    <w:rsid w:val="2079EEFF"/>
    <w:rsid w:val="21CBE613"/>
    <w:rsid w:val="22E2C648"/>
    <w:rsid w:val="239BFE4D"/>
    <w:rsid w:val="26572A1D"/>
    <w:rsid w:val="2741BDB0"/>
    <w:rsid w:val="2746A003"/>
    <w:rsid w:val="279190AC"/>
    <w:rsid w:val="285D1FB9"/>
    <w:rsid w:val="2890A1CF"/>
    <w:rsid w:val="2948E197"/>
    <w:rsid w:val="2AC6F0E9"/>
    <w:rsid w:val="2C1967FF"/>
    <w:rsid w:val="2E417499"/>
    <w:rsid w:val="2E7CE3B2"/>
    <w:rsid w:val="2F1BBE0B"/>
    <w:rsid w:val="2F4D7BF2"/>
    <w:rsid w:val="31178236"/>
    <w:rsid w:val="32117685"/>
    <w:rsid w:val="330F8BF4"/>
    <w:rsid w:val="3329C791"/>
    <w:rsid w:val="352460C0"/>
    <w:rsid w:val="352F1315"/>
    <w:rsid w:val="361E5033"/>
    <w:rsid w:val="390FCAB3"/>
    <w:rsid w:val="3919568F"/>
    <w:rsid w:val="39635502"/>
    <w:rsid w:val="3BC29BB3"/>
    <w:rsid w:val="3CF43075"/>
    <w:rsid w:val="3D30CB15"/>
    <w:rsid w:val="3F58837F"/>
    <w:rsid w:val="3FC7F1A0"/>
    <w:rsid w:val="3FCFB151"/>
    <w:rsid w:val="3FD1DF27"/>
    <w:rsid w:val="40D8D2C8"/>
    <w:rsid w:val="41F8840B"/>
    <w:rsid w:val="42FE1991"/>
    <w:rsid w:val="44FD150C"/>
    <w:rsid w:val="454AD18C"/>
    <w:rsid w:val="45CA8865"/>
    <w:rsid w:val="46429840"/>
    <w:rsid w:val="475E652B"/>
    <w:rsid w:val="47C89ADA"/>
    <w:rsid w:val="47CBDB66"/>
    <w:rsid w:val="48D4D7F5"/>
    <w:rsid w:val="48FA579A"/>
    <w:rsid w:val="497BFA86"/>
    <w:rsid w:val="49BEA326"/>
    <w:rsid w:val="4B103562"/>
    <w:rsid w:val="4BEB493D"/>
    <w:rsid w:val="4F36D01B"/>
    <w:rsid w:val="5014101C"/>
    <w:rsid w:val="5029DBD8"/>
    <w:rsid w:val="52CA1D2C"/>
    <w:rsid w:val="54632614"/>
    <w:rsid w:val="5506F8A7"/>
    <w:rsid w:val="57550D2A"/>
    <w:rsid w:val="57B6DAD5"/>
    <w:rsid w:val="58591AF3"/>
    <w:rsid w:val="5A1A0F4D"/>
    <w:rsid w:val="5A468847"/>
    <w:rsid w:val="5B8426EC"/>
    <w:rsid w:val="5BD453E4"/>
    <w:rsid w:val="5D0EFA1A"/>
    <w:rsid w:val="5F5AFBFD"/>
    <w:rsid w:val="5F8534A9"/>
    <w:rsid w:val="60902DFA"/>
    <w:rsid w:val="61510D0E"/>
    <w:rsid w:val="6171AE29"/>
    <w:rsid w:val="617B0CA7"/>
    <w:rsid w:val="627299B2"/>
    <w:rsid w:val="631D731C"/>
    <w:rsid w:val="6386FD7B"/>
    <w:rsid w:val="642766B3"/>
    <w:rsid w:val="647AA7D7"/>
    <w:rsid w:val="648ADE4D"/>
    <w:rsid w:val="66A9FDC6"/>
    <w:rsid w:val="66CF1318"/>
    <w:rsid w:val="66F38CE2"/>
    <w:rsid w:val="66FBB9F5"/>
    <w:rsid w:val="6F5FAB8D"/>
    <w:rsid w:val="6F6F3746"/>
    <w:rsid w:val="6FDF1043"/>
    <w:rsid w:val="70200E82"/>
    <w:rsid w:val="70A0EA77"/>
    <w:rsid w:val="71320CAD"/>
    <w:rsid w:val="71E15AB4"/>
    <w:rsid w:val="72415E2D"/>
    <w:rsid w:val="7423373F"/>
    <w:rsid w:val="750EE17D"/>
    <w:rsid w:val="75671AA5"/>
    <w:rsid w:val="766A7ABC"/>
    <w:rsid w:val="76C2B68A"/>
    <w:rsid w:val="77211E56"/>
    <w:rsid w:val="775538DF"/>
    <w:rsid w:val="7A55FD9D"/>
    <w:rsid w:val="7ABAB8E2"/>
    <w:rsid w:val="7AE9491B"/>
    <w:rsid w:val="7AEF8E23"/>
    <w:rsid w:val="7AFB468F"/>
    <w:rsid w:val="7B4882C1"/>
    <w:rsid w:val="7C21C87A"/>
    <w:rsid w:val="7C6A4C29"/>
    <w:rsid w:val="7D436EE1"/>
    <w:rsid w:val="7DE99C09"/>
    <w:rsid w:val="7DF4FDD7"/>
    <w:rsid w:val="7E8FDC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FCF6"/>
  <w15:chartTrackingRefBased/>
  <w15:docId w15:val="{1310861E-795A-44F1-816C-D1D64E2E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6C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C8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F6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C87"/>
  </w:style>
  <w:style w:type="paragraph" w:styleId="Footer">
    <w:name w:val="footer"/>
    <w:basedOn w:val="Normal"/>
    <w:link w:val="FooterChar"/>
    <w:uiPriority w:val="99"/>
    <w:unhideWhenUsed/>
    <w:rsid w:val="00AF6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C87"/>
  </w:style>
  <w:style w:type="paragraph" w:styleId="ListParagraph">
    <w:name w:val="List Paragraph"/>
    <w:basedOn w:val="Normal"/>
    <w:uiPriority w:val="34"/>
    <w:qFormat/>
    <w:rsid w:val="00AF6C87"/>
    <w:pPr>
      <w:ind w:left="720"/>
      <w:contextualSpacing/>
    </w:pPr>
  </w:style>
  <w:style w:type="table" w:styleId="TableGrid">
    <w:name w:val="Table Grid"/>
    <w:basedOn w:val="TableNormal"/>
    <w:uiPriority w:val="39"/>
    <w:rsid w:val="00F57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20C2"/>
    <w:rPr>
      <w:sz w:val="16"/>
      <w:szCs w:val="16"/>
    </w:rPr>
  </w:style>
  <w:style w:type="paragraph" w:styleId="CommentText">
    <w:name w:val="annotation text"/>
    <w:basedOn w:val="Normal"/>
    <w:link w:val="CommentTextChar"/>
    <w:uiPriority w:val="99"/>
    <w:unhideWhenUsed/>
    <w:rsid w:val="00DE20C2"/>
    <w:pPr>
      <w:spacing w:line="240" w:lineRule="auto"/>
    </w:pPr>
    <w:rPr>
      <w:sz w:val="20"/>
      <w:szCs w:val="20"/>
    </w:rPr>
  </w:style>
  <w:style w:type="character" w:customStyle="1" w:styleId="CommentTextChar">
    <w:name w:val="Comment Text Char"/>
    <w:basedOn w:val="DefaultParagraphFont"/>
    <w:link w:val="CommentText"/>
    <w:uiPriority w:val="99"/>
    <w:rsid w:val="00DE20C2"/>
    <w:rPr>
      <w:sz w:val="20"/>
      <w:szCs w:val="20"/>
    </w:rPr>
  </w:style>
  <w:style w:type="paragraph" w:styleId="CommentSubject">
    <w:name w:val="annotation subject"/>
    <w:basedOn w:val="CommentText"/>
    <w:next w:val="CommentText"/>
    <w:link w:val="CommentSubjectChar"/>
    <w:uiPriority w:val="99"/>
    <w:semiHidden/>
    <w:unhideWhenUsed/>
    <w:rsid w:val="00DE20C2"/>
    <w:rPr>
      <w:b/>
      <w:bCs/>
    </w:rPr>
  </w:style>
  <w:style w:type="character" w:customStyle="1" w:styleId="CommentSubjectChar">
    <w:name w:val="Comment Subject Char"/>
    <w:basedOn w:val="CommentTextChar"/>
    <w:link w:val="CommentSubject"/>
    <w:uiPriority w:val="99"/>
    <w:semiHidden/>
    <w:rsid w:val="00DE20C2"/>
    <w:rPr>
      <w:b/>
      <w:bCs/>
      <w:sz w:val="20"/>
      <w:szCs w:val="20"/>
    </w:rPr>
  </w:style>
  <w:style w:type="paragraph" w:styleId="BalloonText">
    <w:name w:val="Balloon Text"/>
    <w:basedOn w:val="Normal"/>
    <w:link w:val="BalloonTextChar"/>
    <w:uiPriority w:val="99"/>
    <w:semiHidden/>
    <w:unhideWhenUsed/>
    <w:rsid w:val="00DE20C2"/>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E20C2"/>
    <w:rPr>
      <w:rFonts w:ascii="MS Shell Dlg" w:hAnsi="MS Shell Dlg" w:cs="MS Shell Dlg"/>
      <w:sz w:val="18"/>
      <w:szCs w:val="18"/>
    </w:rPr>
  </w:style>
  <w:style w:type="character" w:styleId="Hyperlink">
    <w:name w:val="Hyperlink"/>
    <w:basedOn w:val="DefaultParagraphFont"/>
    <w:uiPriority w:val="99"/>
    <w:unhideWhenUsed/>
    <w:rsid w:val="00857665"/>
    <w:rPr>
      <w:color w:val="0563C1" w:themeColor="hyperlink"/>
      <w:u w:val="single"/>
    </w:rPr>
  </w:style>
  <w:style w:type="character" w:styleId="UnresolvedMention">
    <w:name w:val="Unresolved Mention"/>
    <w:basedOn w:val="DefaultParagraphFont"/>
    <w:uiPriority w:val="99"/>
    <w:semiHidden/>
    <w:unhideWhenUsed/>
    <w:rsid w:val="00BA5F6E"/>
    <w:rPr>
      <w:color w:val="605E5C"/>
      <w:shd w:val="clear" w:color="auto" w:fill="E1DFDD"/>
    </w:rPr>
  </w:style>
  <w:style w:type="paragraph" w:styleId="Revision">
    <w:name w:val="Revision"/>
    <w:hidden/>
    <w:uiPriority w:val="99"/>
    <w:semiHidden/>
    <w:rsid w:val="00717075"/>
    <w:pPr>
      <w:spacing w:after="0" w:line="240" w:lineRule="auto"/>
    </w:pPr>
  </w:style>
  <w:style w:type="character" w:styleId="Mention">
    <w:name w:val="Mention"/>
    <w:basedOn w:val="DefaultParagraphFont"/>
    <w:uiPriority w:val="99"/>
    <w:unhideWhenUsed/>
    <w:rsid w:val="00104C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016564">
      <w:bodyDiv w:val="1"/>
      <w:marLeft w:val="0"/>
      <w:marRight w:val="0"/>
      <w:marTop w:val="0"/>
      <w:marBottom w:val="0"/>
      <w:divBdr>
        <w:top w:val="none" w:sz="0" w:space="0" w:color="auto"/>
        <w:left w:val="none" w:sz="0" w:space="0" w:color="auto"/>
        <w:bottom w:val="none" w:sz="0" w:space="0" w:color="auto"/>
        <w:right w:val="none" w:sz="0" w:space="0" w:color="auto"/>
      </w:divBdr>
    </w:div>
    <w:div w:id="660740421">
      <w:bodyDiv w:val="1"/>
      <w:marLeft w:val="0"/>
      <w:marRight w:val="0"/>
      <w:marTop w:val="0"/>
      <w:marBottom w:val="0"/>
      <w:divBdr>
        <w:top w:val="none" w:sz="0" w:space="0" w:color="auto"/>
        <w:left w:val="none" w:sz="0" w:space="0" w:color="auto"/>
        <w:bottom w:val="none" w:sz="0" w:space="0" w:color="auto"/>
        <w:right w:val="none" w:sz="0" w:space="0" w:color="auto"/>
      </w:divBdr>
    </w:div>
    <w:div w:id="680279181">
      <w:bodyDiv w:val="1"/>
      <w:marLeft w:val="0"/>
      <w:marRight w:val="0"/>
      <w:marTop w:val="0"/>
      <w:marBottom w:val="0"/>
      <w:divBdr>
        <w:top w:val="none" w:sz="0" w:space="0" w:color="auto"/>
        <w:left w:val="none" w:sz="0" w:space="0" w:color="auto"/>
        <w:bottom w:val="none" w:sz="0" w:space="0" w:color="auto"/>
        <w:right w:val="none" w:sz="0" w:space="0" w:color="auto"/>
      </w:divBdr>
    </w:div>
    <w:div w:id="712923777">
      <w:bodyDiv w:val="1"/>
      <w:marLeft w:val="0"/>
      <w:marRight w:val="0"/>
      <w:marTop w:val="0"/>
      <w:marBottom w:val="0"/>
      <w:divBdr>
        <w:top w:val="none" w:sz="0" w:space="0" w:color="auto"/>
        <w:left w:val="none" w:sz="0" w:space="0" w:color="auto"/>
        <w:bottom w:val="none" w:sz="0" w:space="0" w:color="auto"/>
        <w:right w:val="none" w:sz="0" w:space="0" w:color="auto"/>
      </w:divBdr>
    </w:div>
    <w:div w:id="1272664246">
      <w:bodyDiv w:val="1"/>
      <w:marLeft w:val="0"/>
      <w:marRight w:val="0"/>
      <w:marTop w:val="0"/>
      <w:marBottom w:val="0"/>
      <w:divBdr>
        <w:top w:val="none" w:sz="0" w:space="0" w:color="auto"/>
        <w:left w:val="none" w:sz="0" w:space="0" w:color="auto"/>
        <w:bottom w:val="none" w:sz="0" w:space="0" w:color="auto"/>
        <w:right w:val="none" w:sz="0" w:space="0" w:color="auto"/>
      </w:divBdr>
    </w:div>
    <w:div w:id="1369834018">
      <w:bodyDiv w:val="1"/>
      <w:marLeft w:val="0"/>
      <w:marRight w:val="0"/>
      <w:marTop w:val="0"/>
      <w:marBottom w:val="0"/>
      <w:divBdr>
        <w:top w:val="none" w:sz="0" w:space="0" w:color="auto"/>
        <w:left w:val="none" w:sz="0" w:space="0" w:color="auto"/>
        <w:bottom w:val="none" w:sz="0" w:space="0" w:color="auto"/>
        <w:right w:val="none" w:sz="0" w:space="0" w:color="auto"/>
      </w:divBdr>
    </w:div>
    <w:div w:id="1889141623">
      <w:bodyDiv w:val="1"/>
      <w:marLeft w:val="0"/>
      <w:marRight w:val="0"/>
      <w:marTop w:val="0"/>
      <w:marBottom w:val="0"/>
      <w:divBdr>
        <w:top w:val="none" w:sz="0" w:space="0" w:color="auto"/>
        <w:left w:val="none" w:sz="0" w:space="0" w:color="auto"/>
        <w:bottom w:val="none" w:sz="0" w:space="0" w:color="auto"/>
        <w:right w:val="none" w:sz="0" w:space="0" w:color="auto"/>
      </w:divBdr>
    </w:div>
    <w:div w:id="19748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ucn.org" TargetMode="External"/><Relationship Id="rId18" Type="http://schemas.openxmlformats.org/officeDocument/2006/relationships/hyperlink" Target="https://www.moore.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iucngreenlist.org/wp-content/uploads/2020/04/IUCN-Green-List-User-Manual-Version-1.2.pdf" TargetMode="External"/><Relationship Id="rId2" Type="http://schemas.openxmlformats.org/officeDocument/2006/relationships/customXml" Target="../customXml/item2.xml"/><Relationship Id="rId16" Type="http://schemas.openxmlformats.org/officeDocument/2006/relationships/hyperlink" Target="https://iucngreenlist.org/wp-content/uploads/2020/04/IUCN-Green-List-User-Manual-Version-1.2.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ucngreenlist.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ucngreenlis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IUC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009D01EF0E6449847074A0A4188D8B" ma:contentTypeVersion="14" ma:contentTypeDescription="Create a new document." ma:contentTypeScope="" ma:versionID="df24e24a0a6f16728cbdf078a3c8043c">
  <xsd:schema xmlns:xsd="http://www.w3.org/2001/XMLSchema" xmlns:xs="http://www.w3.org/2001/XMLSchema" xmlns:p="http://schemas.microsoft.com/office/2006/metadata/properties" xmlns:ns2="e74f1aa9-d3e8-4ff4-b08b-a112729b184e" xmlns:ns3="ded7766d-8302-4b06-a061-df2bffec07a3" targetNamespace="http://schemas.microsoft.com/office/2006/metadata/properties" ma:root="true" ma:fieldsID="b4661a6e63cd5facb8c8b4b83987a740" ns2:_="" ns3:_="">
    <xsd:import namespace="e74f1aa9-d3e8-4ff4-b08b-a112729b184e"/>
    <xsd:import namespace="ded7766d-8302-4b06-a061-df2bffec07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f1aa9-d3e8-4ff4-b08b-a112729b1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d7766d-8302-4b06-a061-df2bffec07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90c23e-829e-46b1-be89-5b3168bbfae9}" ma:internalName="TaxCatchAll" ma:showField="CatchAllData" ma:web="ded7766d-8302-4b06-a061-df2bffec07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4f1aa9-d3e8-4ff4-b08b-a112729b184e">
      <Terms xmlns="http://schemas.microsoft.com/office/infopath/2007/PartnerControls"/>
    </lcf76f155ced4ddcb4097134ff3c332f>
    <TaxCatchAll xmlns="ded7766d-8302-4b06-a061-df2bffec07a3" xsi:nil="true"/>
  </documentManagement>
</p:properties>
</file>

<file path=customXml/itemProps1.xml><?xml version="1.0" encoding="utf-8"?>
<ds:datastoreItem xmlns:ds="http://schemas.openxmlformats.org/officeDocument/2006/customXml" ds:itemID="{851CE5E4-756B-4728-9221-9AF76128CDCC}">
  <ds:schemaRefs>
    <ds:schemaRef ds:uri="http://schemas.microsoft.com/sharepoint/v3/contenttype/forms"/>
  </ds:schemaRefs>
</ds:datastoreItem>
</file>

<file path=customXml/itemProps2.xml><?xml version="1.0" encoding="utf-8"?>
<ds:datastoreItem xmlns:ds="http://schemas.openxmlformats.org/officeDocument/2006/customXml" ds:itemID="{34F31AA0-F294-4460-99BE-C3BE2EFB2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f1aa9-d3e8-4ff4-b08b-a112729b184e"/>
    <ds:schemaRef ds:uri="ded7766d-8302-4b06-a061-df2bffec0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80167-C5B1-46BB-B5A4-B1C9FCC18A68}">
  <ds:schemaRefs>
    <ds:schemaRef ds:uri="http://schemas.openxmlformats.org/officeDocument/2006/bibliography"/>
  </ds:schemaRefs>
</ds:datastoreItem>
</file>

<file path=customXml/itemProps4.xml><?xml version="1.0" encoding="utf-8"?>
<ds:datastoreItem xmlns:ds="http://schemas.openxmlformats.org/officeDocument/2006/customXml" ds:itemID="{D199E1A1-3DEE-431B-8671-56DB77FEF843}">
  <ds:schemaRefs>
    <ds:schemaRef ds:uri="http://schemas.microsoft.com/office/2006/metadata/properties"/>
    <ds:schemaRef ds:uri="http://schemas.microsoft.com/office/infopath/2007/PartnerControls"/>
    <ds:schemaRef ds:uri="e74f1aa9-d3e8-4ff4-b08b-a112729b184e"/>
    <ds:schemaRef ds:uri="ded7766d-8302-4b06-a061-df2bffec07a3"/>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Pages>
  <Words>1753</Words>
  <Characters>9997</Characters>
  <Application>Microsoft Office Word</Application>
  <DocSecurity>0</DocSecurity>
  <Lines>83</Lines>
  <Paragraphs>23</Paragraphs>
  <ScaleCrop>false</ScaleCrop>
  <Company>IUCN</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Marek</dc:creator>
  <cp:keywords/>
  <dc:description/>
  <cp:lastModifiedBy>COSTA I DOMINGO Giulia</cp:lastModifiedBy>
  <cp:revision>274</cp:revision>
  <dcterms:created xsi:type="dcterms:W3CDTF">2024-10-24T00:07:00Z</dcterms:created>
  <dcterms:modified xsi:type="dcterms:W3CDTF">2024-11-07T19:40:00Z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0x010100A4009D01EF0E6449847074A0A4188D8B</vt:lpwstr>
  </property>
  <property fmtid="{D5CDD505-2E9C-101B-9397-08002B2CF9AE}" pid="3" name="MediaServiceImageTags">
    <vt:lpwstr/>
  </property>
</Properties>
</file>